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B8963E" w:sz="24" w:space="1"/>
        </w:pBdr>
        <w:spacing w:after="0" w:before="0"/>
      </w:pPr>
    </w:p>
    <w:p>
      <w:pPr>
        <w:spacing w:after="0" w:before="480"/>
      </w:pPr>
    </w:p>
    <w:p>
      <w:pPr>
        <w:spacing w:after="80" w:before="0"/>
        <w:jc w:val="center"/>
      </w:pPr>
      <w:r>
        <w:rPr>
          <w:rFonts w:ascii="Arial" w:cs="Arial" w:eastAsia="Arial" w:hAnsi="Arial"/>
          <w:b/>
          <w:bCs/>
          <w:color w:val="1B2B4B"/>
          <w:spacing w:val="80"/>
          <w:sz w:val="28"/>
          <w:szCs w:val="28"/>
        </w:rPr>
        <w:t xml:space="preserve">CIVICOS INSTITUTE</w:t>
      </w:r>
    </w:p>
    <w:p>
      <w:pPr>
        <w:pBdr>
          <w:bottom w:val="single" w:color="B8963E" w:sz="6" w:space="4"/>
        </w:pBdr>
        <w:spacing w:after="240" w:before="40"/>
        <w:jc w:val="center"/>
      </w:pPr>
    </w:p>
    <w:p>
      <w:pPr>
        <w:spacing w:after="60" w:before="0"/>
        <w:jc w:val="center"/>
      </w:pPr>
      <w:r>
        <w:rPr>
          <w:rFonts w:ascii="Arial" w:cs="Arial" w:eastAsia="Arial" w:hAnsi="Arial"/>
          <w:color w:val="6B7280"/>
          <w:spacing w:val="60"/>
          <w:sz w:val="18"/>
          <w:szCs w:val="18"/>
        </w:rPr>
        <w:t xml:space="preserve">GOVERNANCE DOCUMENT</w:t>
      </w:r>
    </w:p>
    <w:p>
      <w:pPr>
        <w:spacing w:after="40" w:before="0"/>
        <w:jc w:val="center"/>
      </w:pPr>
      <w:r>
        <w:rPr>
          <w:rFonts w:ascii="Arial" w:cs="Arial" w:eastAsia="Arial" w:hAnsi="Arial"/>
          <w:b/>
          <w:bCs/>
          <w:color w:val="1B2B4B"/>
          <w:sz w:val="40"/>
          <w:szCs w:val="40"/>
        </w:rPr>
        <w:t xml:space="preserve">Bylaws</w:t>
      </w:r>
    </w:p>
    <w:p>
      <w:pPr>
        <w:spacing w:after="0" w:before="360"/>
      </w:pPr>
    </w:p>
    <w:p>
      <w:pPr>
        <w:pBdr>
          <w:bottom w:val="single" w:color="D0D5DD" w:sz="4" w:space="1"/>
        </w:pBdr>
        <w:spacing w:after="80" w:before="80"/>
      </w:pPr>
    </w:p>
    <w:p>
      <w:pPr>
        <w:spacing w:after="0" w:before="120"/>
      </w:pPr>
    </w:p>
    <w:p>
      <w:pPr>
        <w:spacing w:after="60" w:before="60"/>
      </w:pPr>
      <w:r>
        <w:rPr>
          <w:rFonts w:ascii="Arial" w:cs="Arial" w:eastAsia="Arial" w:hAnsi="Arial"/>
          <w:b/>
          <w:bCs/>
          <w:color w:val="1B2B4B"/>
          <w:sz w:val="20"/>
          <w:szCs w:val="20"/>
        </w:rPr>
        <w:t xml:space="preserve">Document ID:  </w:t>
      </w:r>
      <w:r>
        <w:rPr>
          <w:rFonts w:ascii="Georgia" w:cs="Georgia" w:eastAsia="Georgia" w:hAnsi="Georgia"/>
          <w:color w:val="111111"/>
          <w:sz w:val="20"/>
          <w:szCs w:val="20"/>
        </w:rPr>
        <w:t xml:space="preserve">01</w:t>
      </w:r>
    </w:p>
    <w:p>
      <w:pPr>
        <w:spacing w:after="60" w:before="60"/>
      </w:pPr>
      <w:r>
        <w:rPr>
          <w:rFonts w:ascii="Arial" w:cs="Arial" w:eastAsia="Arial" w:hAnsi="Arial"/>
          <w:b/>
          <w:bCs/>
          <w:color w:val="1B2B4B"/>
          <w:sz w:val="20"/>
          <w:szCs w:val="20"/>
        </w:rPr>
        <w:t xml:space="preserve">Version:  </w:t>
      </w:r>
      <w:r>
        <w:rPr>
          <w:rFonts w:ascii="Georgia" w:cs="Georgia" w:eastAsia="Georgia" w:hAnsi="Georgia"/>
          <w:color w:val="111111"/>
          <w:sz w:val="20"/>
          <w:szCs w:val="20"/>
        </w:rPr>
        <w:t xml:space="preserve">1.0</w:t>
      </w:r>
    </w:p>
    <w:p>
      <w:pPr>
        <w:spacing w:after="60" w:before="60"/>
      </w:pPr>
      <w:r>
        <w:rPr>
          <w:rFonts w:ascii="Arial" w:cs="Arial" w:eastAsia="Arial" w:hAnsi="Arial"/>
          <w:b/>
          <w:bCs/>
          <w:color w:val="1B2B4B"/>
          <w:sz w:val="20"/>
          <w:szCs w:val="20"/>
        </w:rPr>
        <w:t xml:space="preserve">Status:  </w:t>
      </w:r>
      <w:r>
        <w:rPr>
          <w:rFonts w:ascii="Georgia" w:cs="Georgia" w:eastAsia="Georgia" w:hAnsi="Georgia"/>
          <w:color w:val="111111"/>
          <w:sz w:val="20"/>
          <w:szCs w:val="20"/>
        </w:rPr>
        <w:t xml:space="preserve">DRAFT — Pending Board Adoption</w:t>
      </w:r>
    </w:p>
    <w:p>
      <w:pPr>
        <w:spacing w:after="60" w:before="60"/>
      </w:pPr>
      <w:r>
        <w:rPr>
          <w:rFonts w:ascii="Arial" w:cs="Arial" w:eastAsia="Arial" w:hAnsi="Arial"/>
          <w:b/>
          <w:bCs/>
          <w:color w:val="1B2B4B"/>
          <w:sz w:val="20"/>
          <w:szCs w:val="20"/>
        </w:rPr>
        <w:t xml:space="preserve">Contact:  </w:t>
      </w:r>
      <w:r>
        <w:rPr>
          <w:rFonts w:ascii="Georgia" w:cs="Georgia" w:eastAsia="Georgia" w:hAnsi="Georgia"/>
          <w:color w:val="111111"/>
          <w:sz w:val="20"/>
          <w:szCs w:val="20"/>
        </w:rPr>
        <w:t xml:space="preserve">NCerbone@civicos-institute.org</w:t>
      </w:r>
    </w:p>
    <w:p>
      <w:pPr>
        <w:spacing w:after="0" w:before="120"/>
      </w:pPr>
    </w:p>
    <w:p>
      <w:pPr>
        <w:pBdr>
          <w:bottom w:val="single" w:color="D0D5DD" w:sz="4" w:space="1"/>
        </w:pBdr>
        <w:spacing w:after="80" w:before="80"/>
      </w:pPr>
    </w:p>
    <w:p>
      <w:pPr>
        <w:spacing w:after="0" w:before="80"/>
      </w:pPr>
    </w:p>
    <w:p>
      <w:pPr>
        <w:spacing w:after="40" w:before="0"/>
        <w:jc w:val="center"/>
      </w:pPr>
      <w:r>
        <w:rPr>
          <w:rFonts w:ascii="Arial" w:cs="Arial" w:eastAsia="Arial" w:hAnsi="Arial"/>
          <w:color w:val="6B7280"/>
          <w:sz w:val="18"/>
          <w:szCs w:val="18"/>
        </w:rPr>
        <w:t xml:space="preserve">4884 Beresford Circle, West Palm Beach, Florida 33417</w:t>
      </w:r>
    </w:p>
    <w:p>
      <w:pPr>
        <w:spacing w:after="0" w:before="0"/>
        <w:jc w:val="center"/>
      </w:pPr>
      <w:r>
        <w:rPr>
          <w:rFonts w:ascii="Arial" w:cs="Arial" w:eastAsia="Arial" w:hAnsi="Arial"/>
          <w:color w:val="6B7280"/>
          <w:sz w:val="18"/>
          <w:szCs w:val="18"/>
        </w:rPr>
        <w:t xml:space="preserve">561-287-3579  ·  civicos-institute.org</w:t>
      </w:r>
    </w:p>
    <w:p>
      <w:pPr>
        <w:pageBreakBefore/>
      </w:pPr>
    </w:p>
    <w:p>
      <w:pPr>
        <w:pStyle w:val="Heading1"/>
        <w:pBdr>
          <w:bottom w:val="single" w:color="1B2B4B" w:sz="6" w:space="4"/>
        </w:pBdr>
        <w:spacing w:after="120" w:before="320"/>
      </w:pPr>
      <w:r>
        <w:rPr>
          <w:rFonts w:ascii="Arial" w:cs="Arial" w:eastAsia="Arial" w:hAnsi="Arial"/>
          <w:b/>
          <w:bCs/>
          <w:color w:val="1B2B4B"/>
          <w:sz w:val="26"/>
          <w:szCs w:val="26"/>
        </w:rPr>
        <w:t xml:space="preserve">Article I — Offices</w:t>
      </w:r>
    </w:p>
    <w:p>
      <w:pPr>
        <w:spacing w:after="80" w:before="80" w:line="276"/>
      </w:pPr>
      <w:r>
        <w:rPr>
          <w:rFonts w:ascii="Georgia" w:cs="Georgia" w:eastAsia="Georgia" w:hAnsi="Georgia"/>
          <w:b w:val="false"/>
          <w:bCs w:val="false"/>
          <w:i w:val="false"/>
          <w:iCs w:val="false"/>
          <w:color w:val="111111"/>
          <w:sz w:val="22"/>
          <w:szCs w:val="22"/>
        </w:rPr>
        <w:t xml:space="preserve">Principal office, registered office, and records office provisions.</w:t>
      </w:r>
    </w:p>
    <w:p>
      <w:pPr>
        <w:pStyle w:val="Heading1"/>
        <w:pBdr>
          <w:bottom w:val="single" w:color="1B2B4B" w:sz="6" w:space="4"/>
        </w:pBdr>
        <w:spacing w:after="120" w:before="320"/>
      </w:pPr>
      <w:r>
        <w:rPr>
          <w:rFonts w:ascii="Arial" w:cs="Arial" w:eastAsia="Arial" w:hAnsi="Arial"/>
          <w:b/>
          <w:bCs/>
          <w:color w:val="1B2B4B"/>
          <w:sz w:val="26"/>
          <w:szCs w:val="26"/>
        </w:rPr>
        <w:t xml:space="preserve">Article II — Purpose</w:t>
      </w:r>
    </w:p>
    <w:p>
      <w:pPr>
        <w:spacing w:after="80" w:before="80" w:line="276"/>
      </w:pPr>
      <w:r>
        <w:rPr>
          <w:rFonts w:ascii="Georgia" w:cs="Georgia" w:eastAsia="Georgia" w:hAnsi="Georgia"/>
          <w:b w:val="false"/>
          <w:bCs w:val="false"/>
          <w:i w:val="false"/>
          <w:iCs w:val="false"/>
          <w:color w:val="111111"/>
          <w:sz w:val="22"/>
          <w:szCs w:val="22"/>
        </w:rPr>
        <w:t xml:space="preserve">Section 1.03: charitable and educational purpose alignment.</w:t>
      </w:r>
    </w:p>
    <w:p>
      <w:pPr>
        <w:pStyle w:val="Heading1"/>
        <w:pBdr>
          <w:bottom w:val="single" w:color="1B2B4B" w:sz="6" w:space="4"/>
        </w:pBdr>
        <w:spacing w:after="120" w:before="320"/>
      </w:pPr>
      <w:r>
        <w:rPr>
          <w:rFonts w:ascii="Arial" w:cs="Arial" w:eastAsia="Arial" w:hAnsi="Arial"/>
          <w:b/>
          <w:bCs/>
          <w:color w:val="1B2B4B"/>
          <w:sz w:val="26"/>
          <w:szCs w:val="26"/>
        </w:rPr>
        <w:t xml:space="preserve">Article III — Board of Directors</w:t>
      </w:r>
    </w:p>
    <w:p>
      <w:pPr>
        <w:spacing w:after="80" w:before="80" w:line="276"/>
      </w:pPr>
      <w:r>
        <w:rPr>
          <w:rFonts w:ascii="Georgia" w:cs="Georgia" w:eastAsia="Georgia" w:hAnsi="Georgia"/>
          <w:b w:val="false"/>
          <w:bCs w:val="false"/>
          <w:i w:val="false"/>
          <w:iCs w:val="false"/>
          <w:color w:val="111111"/>
          <w:sz w:val="22"/>
          <w:szCs w:val="22"/>
        </w:rPr>
        <w:t xml:space="preserve">Section 3.01 Number and Qualification of Directors</w:t>
      </w:r>
    </w:p>
    <w:p>
      <w:pPr>
        <w:spacing w:after="80" w:before="80" w:line="276"/>
      </w:pPr>
      <w:r>
        <w:rPr>
          <w:rFonts w:ascii="Georgia" w:cs="Georgia" w:eastAsia="Georgia" w:hAnsi="Georgia"/>
          <w:b w:val="false"/>
          <w:bCs w:val="false"/>
          <w:i w:val="false"/>
          <w:iCs w:val="false"/>
          <w:color w:val="111111"/>
          <w:sz w:val="22"/>
          <w:szCs w:val="22"/>
        </w:rPr>
        <w:t xml:space="preserve">Section 3.02 Powers and Duties</w:t>
      </w:r>
    </w:p>
    <w:p>
      <w:pPr>
        <w:spacing w:after="80" w:before="80" w:line="276"/>
      </w:pPr>
      <w:r>
        <w:rPr>
          <w:rFonts w:ascii="Georgia" w:cs="Georgia" w:eastAsia="Georgia" w:hAnsi="Georgia"/>
          <w:b w:val="false"/>
          <w:bCs w:val="false"/>
          <w:i w:val="false"/>
          <w:iCs w:val="false"/>
          <w:color w:val="111111"/>
          <w:sz w:val="22"/>
          <w:szCs w:val="22"/>
        </w:rPr>
        <w:t xml:space="preserve">Section 3.03 Terms</w:t>
      </w:r>
    </w:p>
    <w:p>
      <w:pPr>
        <w:pStyle w:val="Heading2"/>
        <w:spacing w:after="80" w:before="220"/>
      </w:pPr>
      <w:r>
        <w:rPr>
          <w:rFonts w:ascii="Arial" w:cs="Arial" w:eastAsia="Arial" w:hAnsi="Arial"/>
          <w:b/>
          <w:bCs/>
          <w:color w:val="1B2B4B"/>
          <w:sz w:val="23"/>
          <w:szCs w:val="23"/>
        </w:rPr>
        <w:t xml:space="preserve">Section 3.04 Provisional Directors</w:t>
      </w:r>
    </w:p>
    <w:p>
      <w:pPr>
        <w:spacing w:after="80" w:before="80" w:line="276"/>
      </w:pPr>
      <w:r>
        <w:rPr>
          <w:rFonts w:ascii="Georgia" w:cs="Georgia" w:eastAsia="Georgia" w:hAnsi="Georgia"/>
          <w:b w:val="false"/>
          <w:bCs w:val="false"/>
          <w:i w:val="false"/>
          <w:iCs w:val="false"/>
          <w:color w:val="111111"/>
          <w:sz w:val="22"/>
          <w:szCs w:val="22"/>
        </w:rPr>
        <w:t xml:space="preserve">(a) Authorization and Rights</w:t>
      </w:r>
    </w:p>
    <w:p>
      <w:pPr>
        <w:spacing w:after="80" w:before="80" w:line="276"/>
      </w:pPr>
      <w:r>
        <w:rPr>
          <w:rFonts w:ascii="Georgia" w:cs="Georgia" w:eastAsia="Georgia" w:hAnsi="Georgia"/>
          <w:b w:val="false"/>
          <w:bCs w:val="false"/>
          <w:i w:val="false"/>
          <w:iCs w:val="false"/>
          <w:color w:val="111111"/>
          <w:sz w:val="22"/>
          <w:szCs w:val="22"/>
        </w:rPr>
        <w:t xml:space="preserve">The Board may seat provisional directors for terms not exceeding 12 months with full voting rights and quorum count.</w:t>
      </w:r>
    </w:p>
    <w:p>
      <w:pPr>
        <w:spacing w:after="80" w:before="80" w:line="276"/>
      </w:pPr>
      <w:r>
        <w:rPr>
          <w:rFonts w:ascii="Georgia" w:cs="Georgia" w:eastAsia="Georgia" w:hAnsi="Georgia"/>
          <w:b w:val="false"/>
          <w:bCs w:val="false"/>
          <w:i w:val="false"/>
          <w:iCs w:val="false"/>
          <w:color w:val="111111"/>
          <w:sz w:val="22"/>
          <w:szCs w:val="22"/>
        </w:rPr>
        <w:t xml:space="preserve">(b) Founding Period Exception</w:t>
      </w:r>
    </w:p>
    <w:p>
      <w:pPr>
        <w:spacing w:after="80" w:before="80" w:line="276"/>
      </w:pPr>
      <w:r>
        <w:rPr>
          <w:rFonts w:ascii="Georgia" w:cs="Georgia" w:eastAsia="Georgia" w:hAnsi="Georgia"/>
          <w:b w:val="false"/>
          <w:bCs w:val="false"/>
          <w:i w:val="false"/>
          <w:iCs w:val="false"/>
          <w:color w:val="111111"/>
          <w:sz w:val="22"/>
          <w:szCs w:val="22"/>
        </w:rPr>
        <w:t xml:space="preserve">Prior to IRS 501(c)(3) determination or first full annual board meeting, whichever occurs later, the Board may consist entirely of provisional directors. Upon seating of the third (3rd) permanent director, the Board Chair must place composition on next meeting agenda; board may by majority vote choose conversion, natural expiry, voluntary resignation, or combination thereof. No action required if fewer than three permanent directors are seated.</w:t>
      </w:r>
    </w:p>
    <w:p>
      <w:pPr>
        <w:spacing w:after="80" w:before="80" w:line="276"/>
      </w:pPr>
      <w:r>
        <w:rPr>
          <w:rFonts w:ascii="Georgia" w:cs="Georgia" w:eastAsia="Georgia" w:hAnsi="Georgia"/>
          <w:b w:val="false"/>
          <w:bCs w:val="false"/>
          <w:i w:val="false"/>
          <w:iCs w:val="false"/>
          <w:color w:val="111111"/>
          <w:sz w:val="22"/>
          <w:szCs w:val="22"/>
        </w:rPr>
        <w:t xml:space="preserve">(c) Due Diligence Obligation</w:t>
      </w:r>
    </w:p>
    <w:p>
      <w:pPr>
        <w:spacing w:after="80" w:before="80" w:line="276"/>
      </w:pPr>
      <w:r>
        <w:rPr>
          <w:rFonts w:ascii="Georgia" w:cs="Georgia" w:eastAsia="Georgia" w:hAnsi="Georgia"/>
          <w:b w:val="false"/>
          <w:bCs w:val="false"/>
          <w:i w:val="false"/>
          <w:iCs w:val="false"/>
          <w:color w:val="111111"/>
          <w:sz w:val="22"/>
          <w:szCs w:val="22"/>
        </w:rPr>
        <w:t xml:space="preserve">(d) Sunset and Escalation</w:t>
      </w:r>
    </w:p>
    <w:p>
      <w:pPr>
        <w:spacing w:after="80" w:before="80" w:line="276"/>
      </w:pPr>
      <w:r>
        <w:rPr>
          <w:rFonts w:ascii="Georgia" w:cs="Georgia" w:eastAsia="Georgia" w:hAnsi="Georgia"/>
          <w:b w:val="false"/>
          <w:bCs w:val="false"/>
          <w:i w:val="false"/>
          <w:iCs w:val="false"/>
          <w:color w:val="111111"/>
          <w:sz w:val="22"/>
          <w:szCs w:val="22"/>
        </w:rPr>
        <w:t xml:space="preserve">Section 3.05 Resignation and Removal</w:t>
      </w:r>
    </w:p>
    <w:p>
      <w:pPr>
        <w:spacing w:after="80" w:before="80" w:line="276"/>
      </w:pPr>
      <w:r>
        <w:rPr>
          <w:rFonts w:ascii="Georgia" w:cs="Georgia" w:eastAsia="Georgia" w:hAnsi="Georgia"/>
          <w:b w:val="false"/>
          <w:bCs w:val="false"/>
          <w:i w:val="false"/>
          <w:iCs w:val="false"/>
          <w:color w:val="111111"/>
          <w:sz w:val="22"/>
          <w:szCs w:val="22"/>
        </w:rPr>
        <w:t xml:space="preserve">Section 3.06 Vacancies</w:t>
      </w:r>
    </w:p>
    <w:p>
      <w:pPr>
        <w:spacing w:after="80" w:before="80" w:line="276"/>
      </w:pPr>
      <w:r>
        <w:rPr>
          <w:rFonts w:ascii="Georgia" w:cs="Georgia" w:eastAsia="Georgia" w:hAnsi="Georgia"/>
          <w:b w:val="false"/>
          <w:bCs w:val="false"/>
          <w:i w:val="false"/>
          <w:iCs w:val="false"/>
          <w:color w:val="111111"/>
          <w:sz w:val="22"/>
          <w:szCs w:val="22"/>
        </w:rPr>
        <w:t xml:space="preserve">Section 3.07 Regular Meetings</w:t>
      </w:r>
    </w:p>
    <w:p>
      <w:pPr>
        <w:spacing w:after="80" w:before="80" w:line="276"/>
      </w:pPr>
      <w:r>
        <w:rPr>
          <w:rFonts w:ascii="Georgia" w:cs="Georgia" w:eastAsia="Georgia" w:hAnsi="Georgia"/>
          <w:b w:val="false"/>
          <w:bCs w:val="false"/>
          <w:i w:val="false"/>
          <w:iCs w:val="false"/>
          <w:color w:val="111111"/>
          <w:sz w:val="22"/>
          <w:szCs w:val="22"/>
        </w:rPr>
        <w:t xml:space="preserve">Section 3.08 Special Meetings</w:t>
      </w:r>
    </w:p>
    <w:p>
      <w:pPr>
        <w:spacing w:after="80" w:before="80" w:line="276"/>
      </w:pPr>
      <w:r>
        <w:rPr>
          <w:rFonts w:ascii="Georgia" w:cs="Georgia" w:eastAsia="Georgia" w:hAnsi="Georgia"/>
          <w:b w:val="false"/>
          <w:bCs w:val="false"/>
          <w:i w:val="false"/>
          <w:iCs w:val="false"/>
          <w:color w:val="111111"/>
          <w:sz w:val="22"/>
          <w:szCs w:val="22"/>
        </w:rPr>
        <w:t xml:space="preserve">Section 3.09 Notice</w:t>
      </w:r>
    </w:p>
    <w:p>
      <w:pPr>
        <w:spacing w:after="80" w:before="80" w:line="276"/>
      </w:pPr>
      <w:r>
        <w:rPr>
          <w:rFonts w:ascii="Georgia" w:cs="Georgia" w:eastAsia="Georgia" w:hAnsi="Georgia"/>
          <w:b w:val="false"/>
          <w:bCs w:val="false"/>
          <w:i w:val="false"/>
          <w:iCs w:val="false"/>
          <w:color w:val="111111"/>
          <w:sz w:val="22"/>
          <w:szCs w:val="22"/>
        </w:rPr>
        <w:t xml:space="preserve">Section 3.10 Quorum and Voting</w:t>
      </w:r>
    </w:p>
    <w:p>
      <w:pPr>
        <w:spacing w:after="80" w:before="80" w:line="276"/>
      </w:pPr>
      <w:r>
        <w:rPr>
          <w:rFonts w:ascii="Georgia" w:cs="Georgia" w:eastAsia="Georgia" w:hAnsi="Georgia"/>
          <w:b w:val="false"/>
          <w:bCs w:val="false"/>
          <w:i w:val="false"/>
          <w:iCs w:val="false"/>
          <w:color w:val="111111"/>
          <w:sz w:val="22"/>
          <w:szCs w:val="22"/>
        </w:rPr>
        <w:t xml:space="preserve">Section 3.11 Action Without Meeting</w:t>
      </w:r>
    </w:p>
    <w:p>
      <w:pPr>
        <w:spacing w:after="80" w:before="80" w:line="276"/>
      </w:pPr>
      <w:r>
        <w:rPr>
          <w:rFonts w:ascii="Georgia" w:cs="Georgia" w:eastAsia="Georgia" w:hAnsi="Georgia"/>
          <w:b w:val="false"/>
          <w:bCs w:val="false"/>
          <w:i w:val="false"/>
          <w:iCs w:val="false"/>
          <w:color w:val="111111"/>
          <w:sz w:val="22"/>
          <w:szCs w:val="22"/>
        </w:rPr>
        <w:t xml:space="preserve">Section 3.12 Participation by Communications Equipment</w:t>
      </w:r>
    </w:p>
    <w:p>
      <w:pPr>
        <w:spacing w:after="80" w:before="80" w:line="276"/>
      </w:pPr>
      <w:r>
        <w:rPr>
          <w:rFonts w:ascii="Georgia" w:cs="Georgia" w:eastAsia="Georgia" w:hAnsi="Georgia"/>
          <w:b w:val="false"/>
          <w:bCs w:val="false"/>
          <w:i w:val="false"/>
          <w:iCs w:val="false"/>
          <w:color w:val="111111"/>
          <w:sz w:val="22"/>
          <w:szCs w:val="22"/>
        </w:rPr>
        <w:t xml:space="preserve">Section 3.13 Compensation and Reimbursement</w:t>
      </w:r>
    </w:p>
    <w:p>
      <w:pPr>
        <w:spacing w:after="80" w:before="80" w:line="276"/>
      </w:pPr>
      <w:r>
        <w:rPr>
          <w:rFonts w:ascii="Georgia" w:cs="Georgia" w:eastAsia="Georgia" w:hAnsi="Georgia"/>
          <w:b w:val="false"/>
          <w:bCs w:val="false"/>
          <w:i w:val="false"/>
          <w:iCs w:val="false"/>
          <w:color w:val="111111"/>
          <w:sz w:val="22"/>
          <w:szCs w:val="22"/>
        </w:rPr>
        <w:t xml:space="preserve">Section 3.14 Committees and Delegations</w:t>
      </w:r>
    </w:p>
    <w:p>
      <w:pPr>
        <w:pStyle w:val="Heading1"/>
        <w:pBdr>
          <w:bottom w:val="single" w:color="1B2B4B" w:sz="6" w:space="4"/>
        </w:pBdr>
        <w:spacing w:after="120" w:before="320"/>
      </w:pPr>
      <w:r>
        <w:rPr>
          <w:rFonts w:ascii="Arial" w:cs="Arial" w:eastAsia="Arial" w:hAnsi="Arial"/>
          <w:b/>
          <w:bCs/>
          <w:color w:val="1B2B4B"/>
          <w:sz w:val="26"/>
          <w:szCs w:val="26"/>
        </w:rPr>
        <w:t xml:space="preserve">Articles IV–XIII</w:t>
      </w:r>
    </w:p>
    <w:p>
      <w:pPr>
        <w:spacing w:after="80" w:before="80" w:line="276"/>
      </w:pPr>
      <w:r>
        <w:rPr>
          <w:rFonts w:ascii="Georgia" w:cs="Georgia" w:eastAsia="Georgia" w:hAnsi="Georgia"/>
          <w:b w:val="false"/>
          <w:bCs w:val="false"/>
          <w:i w:val="false"/>
          <w:iCs w:val="false"/>
          <w:color w:val="111111"/>
          <w:sz w:val="22"/>
          <w:szCs w:val="22"/>
        </w:rPr>
        <w:t xml:space="preserve">Officers; Committees; Conflict procedures; Fiscal management; Records; Indemnification; Amendment process; and related governance controls.</w:t>
      </w:r>
    </w:p>
    <w:p>
      <w:pPr>
        <w:pStyle w:val="Heading2"/>
        <w:spacing w:after="80" w:before="220"/>
      </w:pPr>
      <w:r>
        <w:rPr>
          <w:rFonts w:ascii="Arial" w:cs="Arial" w:eastAsia="Arial" w:hAnsi="Arial"/>
          <w:b/>
          <w:bCs/>
          <w:color w:val="1B2B4B"/>
          <w:sz w:val="23"/>
          <w:szCs w:val="23"/>
        </w:rPr>
        <w:t xml:space="preserve">Article IV — Officers</w:t>
      </w:r>
    </w:p>
    <w:p>
      <w:pPr>
        <w:spacing w:after="80" w:before="80" w:line="276"/>
      </w:pPr>
      <w:r>
        <w:rPr>
          <w:rFonts w:ascii="Georgia" w:cs="Georgia" w:eastAsia="Georgia" w:hAnsi="Georgia"/>
          <w:b w:val="false"/>
          <w:bCs w:val="false"/>
          <w:i w:val="false"/>
          <w:iCs w:val="false"/>
          <w:color w:val="111111"/>
          <w:sz w:val="22"/>
          <w:szCs w:val="22"/>
        </w:rPr>
        <w:t xml:space="preserve">Officer roles include Chair, Treasurer, Secretary, and Executive Director with duties defined by board resolution.</w:t>
      </w:r>
    </w:p>
    <w:p>
      <w:pPr>
        <w:pStyle w:val="Heading2"/>
        <w:spacing w:after="80" w:before="220"/>
      </w:pPr>
      <w:r>
        <w:rPr>
          <w:rFonts w:ascii="Arial" w:cs="Arial" w:eastAsia="Arial" w:hAnsi="Arial"/>
          <w:b/>
          <w:bCs/>
          <w:color w:val="1B2B4B"/>
          <w:sz w:val="23"/>
          <w:szCs w:val="23"/>
        </w:rPr>
        <w:t xml:space="preserve">Article V — Meetings and Notices</w:t>
      </w:r>
    </w:p>
    <w:p>
      <w:pPr>
        <w:spacing w:after="80" w:before="80" w:line="276"/>
      </w:pPr>
      <w:r>
        <w:rPr>
          <w:rFonts w:ascii="Georgia" w:cs="Georgia" w:eastAsia="Georgia" w:hAnsi="Georgia"/>
          <w:b w:val="false"/>
          <w:bCs w:val="false"/>
          <w:i w:val="false"/>
          <w:iCs w:val="false"/>
          <w:color w:val="111111"/>
          <w:sz w:val="22"/>
          <w:szCs w:val="22"/>
        </w:rPr>
        <w:t xml:space="preserve">Regular meetings occur at least quarterly with notice requirements, agenda posting, and records obligations.</w:t>
      </w:r>
    </w:p>
    <w:p>
      <w:pPr>
        <w:pStyle w:val="Heading2"/>
        <w:spacing w:after="80" w:before="220"/>
      </w:pPr>
      <w:r>
        <w:rPr>
          <w:rFonts w:ascii="Arial" w:cs="Arial" w:eastAsia="Arial" w:hAnsi="Arial"/>
          <w:b/>
          <w:bCs/>
          <w:color w:val="1B2B4B"/>
          <w:sz w:val="23"/>
          <w:szCs w:val="23"/>
        </w:rPr>
        <w:t xml:space="preserve">Article VI — Committees</w:t>
      </w:r>
    </w:p>
    <w:p>
      <w:pPr>
        <w:spacing w:after="80" w:before="80" w:line="276"/>
      </w:pPr>
      <w:r>
        <w:rPr>
          <w:rFonts w:ascii="Georgia" w:cs="Georgia" w:eastAsia="Georgia" w:hAnsi="Georgia"/>
          <w:b w:val="false"/>
          <w:bCs w:val="false"/>
          <w:i w:val="false"/>
          <w:iCs w:val="false"/>
          <w:color w:val="111111"/>
          <w:sz w:val="22"/>
          <w:szCs w:val="22"/>
        </w:rPr>
        <w:t xml:space="preserve">Standing and ad hoc committees may be constituted by board action with delegated authority limits.</w:t>
      </w:r>
    </w:p>
    <w:p>
      <w:pPr>
        <w:pStyle w:val="Heading2"/>
        <w:spacing w:after="80" w:before="220"/>
      </w:pPr>
      <w:r>
        <w:rPr>
          <w:rFonts w:ascii="Arial" w:cs="Arial" w:eastAsia="Arial" w:hAnsi="Arial"/>
          <w:b/>
          <w:bCs/>
          <w:color w:val="1B2B4B"/>
          <w:sz w:val="23"/>
          <w:szCs w:val="23"/>
        </w:rPr>
        <w:t xml:space="preserve">Article VII — Financial Controls</w:t>
      </w:r>
    </w:p>
    <w:p>
      <w:pPr>
        <w:spacing w:after="80" w:before="80" w:line="276"/>
      </w:pPr>
      <w:r>
        <w:rPr>
          <w:rFonts w:ascii="Georgia" w:cs="Georgia" w:eastAsia="Georgia" w:hAnsi="Georgia"/>
          <w:b w:val="false"/>
          <w:bCs w:val="false"/>
          <w:i w:val="false"/>
          <w:iCs w:val="false"/>
          <w:color w:val="111111"/>
          <w:sz w:val="22"/>
          <w:szCs w:val="22"/>
        </w:rPr>
        <w:t xml:space="preserve">Budget approval, variance controls, and audit oversight duties are assigned to board and finance leadership.</w:t>
      </w:r>
    </w:p>
    <w:p>
      <w:pPr>
        <w:pStyle w:val="Heading2"/>
        <w:spacing w:after="80" w:before="220"/>
      </w:pPr>
      <w:r>
        <w:rPr>
          <w:rFonts w:ascii="Arial" w:cs="Arial" w:eastAsia="Arial" w:hAnsi="Arial"/>
          <w:b/>
          <w:bCs/>
          <w:color w:val="1B2B4B"/>
          <w:sz w:val="23"/>
          <w:szCs w:val="23"/>
        </w:rPr>
        <w:t xml:space="preserve">Article VIII — Records and Transparency</w:t>
      </w:r>
    </w:p>
    <w:p>
      <w:pPr>
        <w:spacing w:after="80" w:before="80" w:line="276"/>
      </w:pPr>
      <w:r>
        <w:rPr>
          <w:rFonts w:ascii="Georgia" w:cs="Georgia" w:eastAsia="Georgia" w:hAnsi="Georgia"/>
          <w:b w:val="false"/>
          <w:bCs w:val="false"/>
          <w:i w:val="false"/>
          <w:iCs w:val="false"/>
          <w:color w:val="111111"/>
          <w:sz w:val="22"/>
          <w:szCs w:val="22"/>
        </w:rPr>
        <w:t xml:space="preserve">Minutes, resolutions, and governance records are maintained in accordance with retention policy.</w:t>
      </w:r>
    </w:p>
    <w:p>
      <w:pPr>
        <w:pStyle w:val="Heading2"/>
        <w:spacing w:after="80" w:before="220"/>
      </w:pPr>
      <w:r>
        <w:rPr>
          <w:rFonts w:ascii="Arial" w:cs="Arial" w:eastAsia="Arial" w:hAnsi="Arial"/>
          <w:b/>
          <w:bCs/>
          <w:color w:val="1B2B4B"/>
          <w:sz w:val="23"/>
          <w:szCs w:val="23"/>
        </w:rPr>
        <w:t xml:space="preserve">Article IX — Indemnification</w:t>
      </w:r>
    </w:p>
    <w:p>
      <w:pPr>
        <w:spacing w:after="80" w:before="80" w:line="276"/>
      </w:pPr>
      <w:r>
        <w:rPr>
          <w:rFonts w:ascii="Georgia" w:cs="Georgia" w:eastAsia="Georgia" w:hAnsi="Georgia"/>
          <w:b w:val="false"/>
          <w:bCs w:val="false"/>
          <w:i w:val="false"/>
          <w:iCs w:val="false"/>
          <w:color w:val="111111"/>
          <w:sz w:val="22"/>
          <w:szCs w:val="22"/>
        </w:rPr>
        <w:t xml:space="preserve">Directors and officers may be indemnified to the maximum extent allowed by law and policy.</w:t>
      </w:r>
    </w:p>
    <w:p>
      <w:pPr>
        <w:pStyle w:val="Heading2"/>
        <w:spacing w:after="80" w:before="220"/>
      </w:pPr>
      <w:r>
        <w:rPr>
          <w:rFonts w:ascii="Arial" w:cs="Arial" w:eastAsia="Arial" w:hAnsi="Arial"/>
          <w:b/>
          <w:bCs/>
          <w:color w:val="1B2B4B"/>
          <w:sz w:val="23"/>
          <w:szCs w:val="23"/>
        </w:rPr>
        <w:t xml:space="preserve">Article X — Amendments</w:t>
      </w:r>
    </w:p>
    <w:p>
      <w:pPr>
        <w:spacing w:after="80" w:before="80" w:line="276"/>
      </w:pPr>
      <w:r>
        <w:rPr>
          <w:rFonts w:ascii="Georgia" w:cs="Georgia" w:eastAsia="Georgia" w:hAnsi="Georgia"/>
          <w:b w:val="false"/>
          <w:bCs w:val="false"/>
          <w:i w:val="false"/>
          <w:iCs w:val="false"/>
          <w:color w:val="111111"/>
          <w:sz w:val="22"/>
          <w:szCs w:val="22"/>
        </w:rPr>
        <w:t xml:space="preserve">Bylaw amendments require supermajority vote and notice requirements as defined in policy.</w:t>
      </w:r>
    </w:p>
    <w:p>
      <w:pPr>
        <w:pBdr>
          <w:bottom w:val="single" w:color="B8963E" w:sz="8" w:space="1"/>
        </w:pBdr>
        <w:spacing w:after="160" w:before="160"/>
      </w:pPr>
    </w:p>
    <w:p>
      <w:pPr>
        <w:pStyle w:val="Heading1"/>
        <w:pBdr>
          <w:bottom w:val="single" w:color="1B2B4B" w:sz="6" w:space="4"/>
        </w:pBdr>
        <w:spacing w:after="120" w:before="320"/>
      </w:pPr>
      <w:r>
        <w:rPr>
          <w:rFonts w:ascii="Arial" w:cs="Arial" w:eastAsia="Arial" w:hAnsi="Arial"/>
          <w:b/>
          <w:bCs/>
          <w:color w:val="1B2B4B"/>
          <w:sz w:val="26"/>
          <w:szCs w:val="26"/>
        </w:rPr>
        <w:t xml:space="preserve">Adoption and Signatures</w:t>
      </w:r>
    </w:p>
    <w:p>
      <w:pPr>
        <w:spacing w:after="80" w:before="80" w:line="276"/>
      </w:pPr>
      <w:r>
        <w:rPr>
          <w:rFonts w:ascii="Georgia" w:cs="Georgia" w:eastAsia="Georgia" w:hAnsi="Georgia"/>
          <w:b w:val="false"/>
          <w:bCs w:val="false"/>
          <w:i w:val="false"/>
          <w:iCs w:val="false"/>
          <w:color w:val="111111"/>
          <w:sz w:val="22"/>
          <w:szCs w:val="22"/>
        </w:rPr>
        <w:t xml:space="preserve">Adopted by Board on: _______________</w:t>
      </w:r>
    </w:p>
    <w:p>
      <w:pPr>
        <w:spacing w:after="120" w:before="80"/>
      </w:pPr>
    </w:p>
    <w:p>
      <w:pPr>
        <w:spacing w:after="60" w:before="200"/>
      </w:pPr>
      <w:r>
        <w:rPr>
          <w:rFonts w:ascii="Arial" w:cs="Arial" w:eastAsia="Arial" w:hAnsi="Arial"/>
          <w:b/>
          <w:bCs/>
          <w:color w:val="111111"/>
          <w:sz w:val="20"/>
          <w:szCs w:val="20"/>
        </w:rPr>
        <w:t xml:space="preserve">Board Chair: </w:t>
      </w:r>
      <w:r>
        <w:rPr>
          <w:rFonts w:ascii="Courier New" w:cs="Courier New" w:eastAsia="Courier New" w:hAnsi="Courier New"/>
          <w:color w:val="6B7280"/>
          <w:sz w:val="20"/>
          <w:szCs w:val="20"/>
        </w:rPr>
        <w:t xml:space="preserve">____________________________________________________</w:t>
      </w:r>
    </w:p>
    <w:p>
      <w:pPr>
        <w:spacing w:after="160" w:before="60"/>
      </w:pPr>
      <w:r>
        <w:rPr>
          <w:rFonts w:ascii="Arial" w:cs="Arial" w:eastAsia="Arial" w:hAnsi="Arial"/>
          <w:b/>
          <w:bCs/>
          <w:color w:val="111111"/>
          <w:sz w:val="20"/>
          <w:szCs w:val="20"/>
        </w:rPr>
        <w:t xml:space="preserve">Date: </w:t>
      </w:r>
      <w:r>
        <w:rPr>
          <w:rFonts w:ascii="Courier New" w:cs="Courier New" w:eastAsia="Courier New" w:hAnsi="Courier New"/>
          <w:color w:val="6B7280"/>
          <w:sz w:val="20"/>
          <w:szCs w:val="20"/>
        </w:rPr>
        <w:t xml:space="preserve">______________________________</w:t>
      </w:r>
    </w:p>
    <w:p>
      <w:pPr>
        <w:spacing w:after="120" w:before="60"/>
      </w:pPr>
    </w:p>
    <w:p>
      <w:pPr>
        <w:spacing w:after="60" w:before="200"/>
      </w:pPr>
      <w:r>
        <w:rPr>
          <w:rFonts w:ascii="Arial" w:cs="Arial" w:eastAsia="Arial" w:hAnsi="Arial"/>
          <w:b/>
          <w:bCs/>
          <w:color w:val="111111"/>
          <w:sz w:val="20"/>
          <w:szCs w:val="20"/>
        </w:rPr>
        <w:t xml:space="preserve">Executive Director: </w:t>
      </w:r>
      <w:r>
        <w:rPr>
          <w:rFonts w:ascii="Courier New" w:cs="Courier New" w:eastAsia="Courier New" w:hAnsi="Courier New"/>
          <w:color w:val="6B7280"/>
          <w:sz w:val="20"/>
          <w:szCs w:val="20"/>
        </w:rPr>
        <w:t xml:space="preserve">____________________________________________________</w:t>
      </w:r>
    </w:p>
    <w:p>
      <w:pPr>
        <w:spacing w:after="160" w:before="60"/>
      </w:pPr>
      <w:r>
        <w:rPr>
          <w:rFonts w:ascii="Arial" w:cs="Arial" w:eastAsia="Arial" w:hAnsi="Arial"/>
          <w:b/>
          <w:bCs/>
          <w:color w:val="111111"/>
          <w:sz w:val="20"/>
          <w:szCs w:val="20"/>
        </w:rPr>
        <w:t xml:space="preserve">Date: </w:t>
      </w:r>
      <w:r>
        <w:rPr>
          <w:rFonts w:ascii="Courier New" w:cs="Courier New" w:eastAsia="Courier New" w:hAnsi="Courier New"/>
          <w:color w:val="6B7280"/>
          <w:sz w:val="20"/>
          <w:szCs w:val="20"/>
        </w:rPr>
        <w:t xml:space="preserve">______________________________</w:t>
      </w:r>
    </w:p>
    <w:p>
      <w:pPr>
        <w:spacing w:after="120" w:before="120"/>
      </w:pPr>
    </w:p>
    <w:p>
      <w:pPr>
        <w:spacing w:after="80" w:before="80" w:line="276"/>
      </w:pPr>
      <w:r>
        <w:rPr>
          <w:rFonts w:ascii="Georgia" w:cs="Georgia" w:eastAsia="Georgia" w:hAnsi="Georgia"/>
          <w:b w:val="false"/>
          <w:bCs w:val="false"/>
          <w:i/>
          <w:iCs/>
          <w:color w:val="111111"/>
          <w:sz w:val="22"/>
          <w:szCs w:val="22"/>
        </w:rPr>
        <w:t xml:space="preserve">Next review due: 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5DD" w:sz="4" w:space="4"/>
      </w:pBdr>
      <w:tabs>
        <w:tab w:val="center" w:pos="4680"/>
        <w:tab w:val="right" w:pos="9360"/>
      </w:tabs>
      <w:spacing w:after="0" w:before="80"/>
    </w:pPr>
    <w:r>
      <w:rPr>
        <w:rFonts w:ascii="Arial" w:cs="Arial" w:eastAsia="Arial" w:hAnsi="Arial"/>
        <w:color w:val="6B7280"/>
        <w:sz w:val="16"/>
        <w:szCs w:val="16"/>
      </w:rPr>
      <w:t xml:space="preserve">© 2026 CivicOS Institute  ·  Confidential</w:t>
    </w:r>
    <w:r>
      <w:t xml:space="preserve">	</w:t>
    </w:r>
    <w:r>
      <w:rPr>
        <w:rFonts w:ascii="Arial" w:cs="Arial" w:eastAsia="Arial" w:hAnsi="Arial"/>
        <w:color w:val="6B7280"/>
        <w:sz w:val="16"/>
        <w:szCs w:val="16"/>
      </w:rPr>
      <w:t xml:space="preserve">Doc 01 v1.0</w:t>
    </w:r>
    <w:r>
      <w:t xml:space="preserve">	</w:t>
    </w:r>
    <w:r>
      <w:rPr>
        <w:rFonts w:ascii="Arial" w:cs="Arial" w:eastAsia="Arial" w:hAnsi="Arial"/>
        <w:color w:val="6B7280"/>
        <w:sz w:val="16"/>
        <w:szCs w:val="16"/>
      </w:rPr>
      <w:t xml:space="preserve">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2B4B" w:sz="6" w:space="4"/>
      </w:pBdr>
      <w:tabs>
        <w:tab w:val="right" w:pos="9360"/>
      </w:tabs>
      <w:spacing w:after="80" w:before="0"/>
    </w:pPr>
    <w:r>
      <w:rPr>
        <w:rFonts w:ascii="Arial" w:cs="Arial" w:eastAsia="Arial" w:hAnsi="Arial"/>
        <w:b/>
        <w:bCs/>
        <w:color w:val="1B2B4B"/>
        <w:sz w:val="18"/>
        <w:szCs w:val="18"/>
      </w:rPr>
      <w:t xml:space="preserve">CivicOS Institute</w:t>
    </w:r>
    <w:r>
      <w:t xml:space="preserve">	</w:t>
    </w:r>
    <w:r>
      <w:rPr>
        <w:rFonts w:ascii="Arial" w:cs="Arial" w:eastAsia="Arial" w:hAnsi="Arial"/>
        <w:i/>
        <w:iCs/>
        <w:color w:val="6B7280"/>
        <w:sz w:val="18"/>
        <w:szCs w:val="18"/>
      </w:rPr>
      <w:t xml:space="preserve">Bylaws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2026-02-28T21:27:36.405Z</dcterms:created>
  <dcterms:modified xsi:type="dcterms:W3CDTF">2026-02-28T21:27:36.405Z</dcterms:modified>
</cp:coreProperties>
</file>

<file path=docProps/custom.xml><?xml version="1.0" encoding="utf-8"?>
<Properties xmlns="http://schemas.openxmlformats.org/officeDocument/2006/custom-properties" xmlns:vt="http://schemas.openxmlformats.org/officeDocument/2006/docPropsVTypes"/>
</file>