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Document Retention &amp; Records Policy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04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Purpose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Defines retention, secure destruction, and legal hold controls.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Classification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Records are classified by legal and operational requirements.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Permanent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rPr>
          <w:tblHeader/>
        </w:trPr>
        <w:tc>
          <w:tcPr>
            <w:tcW w:type="dxa" w:w="7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Record Type</w:t>
            </w:r>
          </w:p>
        </w:tc>
        <w:tc>
          <w:tcPr>
            <w:tcW w:type="dxa" w:w="2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Retention</w:t>
            </w:r>
          </w:p>
        </w:tc>
      </w:tr>
      <w:tr>
        <w:trPr>
          <w:tblHeader w:val="false"/>
        </w:trPr>
        <w:tc>
          <w:tcPr>
            <w:tcW w:type="dxa" w:w="7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Articles, bylaws, board minutes, tax status letters</w:t>
            </w:r>
          </w:p>
        </w:tc>
        <w:tc>
          <w:tcPr>
            <w:tcW w:type="dxa" w:w="2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Permanent</w:t>
            </w:r>
          </w:p>
        </w:tc>
      </w:tr>
    </w:tbl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7-Year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rPr>
          <w:tblHeader/>
        </w:trPr>
        <w:tc>
          <w:tcPr>
            <w:tcW w:type="dxa" w:w="7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Record Type</w:t>
            </w:r>
          </w:p>
        </w:tc>
        <w:tc>
          <w:tcPr>
            <w:tcW w:type="dxa" w:w="2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Retention</w:t>
            </w:r>
          </w:p>
        </w:tc>
      </w:tr>
      <w:tr>
        <w:trPr>
          <w:tblHeader w:val="false"/>
        </w:trPr>
        <w:tc>
          <w:tcPr>
            <w:tcW w:type="dxa" w:w="7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Financial records, grants, personnel files</w:t>
            </w:r>
          </w:p>
        </w:tc>
        <w:tc>
          <w:tcPr>
            <w:tcW w:type="dxa" w:w="2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7 years</w:t>
            </w:r>
          </w:p>
        </w:tc>
      </w:tr>
    </w:tbl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3–7 Year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rPr>
          <w:tblHeader/>
        </w:trPr>
        <w:tc>
          <w:tcPr>
            <w:tcW w:type="dxa" w:w="7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Record Type</w:t>
            </w:r>
          </w:p>
        </w:tc>
        <w:tc>
          <w:tcPr>
            <w:tcW w:type="dxa" w:w="2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Retention</w:t>
            </w:r>
          </w:p>
        </w:tc>
      </w:tr>
      <w:tr>
        <w:trPr>
          <w:tblHeader w:val="false"/>
        </w:trPr>
        <w:tc>
          <w:tcPr>
            <w:tcW w:type="dxa" w:w="7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Email, project files, routine correspondence</w:t>
            </w:r>
          </w:p>
        </w:tc>
        <w:tc>
          <w:tcPr>
            <w:tcW w:type="dxa" w:w="2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 years</w:t>
            </w:r>
          </w:p>
        </w:tc>
      </w:tr>
    </w:tbl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Electronic Records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Apply the same retention standards to digital records and backups.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Destruction Procedures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Secure destruction methods and logs are required.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Litigation Hold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All deletion pauses under active legal hold notice.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Records Custodian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Operations designates a records custodian with annual policy review duty.</w:t>
      </w:r>
    </w:p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Adopted by Board on: _______________</w:t>
      </w:r>
    </w:p>
    <w:p>
      <w:pPr>
        <w:spacing w:after="120" w:before="8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Board Chair: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Executive Director: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120"/>
      </w:pP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/>
          <w:iCs/>
          <w:color w:val="111111"/>
          <w:sz w:val="22"/>
          <w:szCs w:val="22"/>
        </w:rPr>
        <w:t xml:space="preserve">Next review due: 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04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Document Retention &amp; Records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2026-02-28T21:27:36.449Z</dcterms:created>
  <dcterms:modified xsi:type="dcterms:W3CDTF">2026-02-28T21:27:36.449Z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