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Board Member Agreement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i/>
          <w:iCs/>
          <w:color w:val="6B7280"/>
          <w:sz w:val="22"/>
          <w:szCs w:val="22"/>
        </w:rPr>
        <w:t xml:space="preserve">Individual Director Commitment Document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07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Director Information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Director Name: ________________________________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Board Role/Title: ________________________________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Service Type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Standard Term — 3 years per Bylaws Article III Section 3.03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Provisional Term — 12 months per Bylaws Article III Section 3.04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Term Start Date: ___________    Term End Date: ___________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Conversion to standard term eligible: ☐ Yes ☐ No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Conversion requires majority Board vote prior to provisional term expiration.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Sections 1–11 Commitments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1. Fiduciary duties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2. Governance alignment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3. Participation and attendance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4. Conflict obligations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5. Confidentiality and legal exceptions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6. Financial stewardship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7. Public representation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8. Conduct and culture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9. Whistleblower non-retaliation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10. Intellectual property handling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11. Term renewal and transition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Conditional Provisional Block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If Provisional Service Type selected: appointment maximum 12 months; conversion requires majority board vote; if term expires without conversion, service concludes without further action.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Internal Use Checklist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Orientation completed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COI disclosure form received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Security/privacy onboarding completed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Agreement filed in governance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Term end date calendared with Board Secretary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Service type marked (Standard/Provisional)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Georgia" w:cs="Georgia" w:eastAsia="Georgia" w:hAnsi="Georgia"/>
          <w:color w:val="111111"/>
          <w:sz w:val="21"/>
          <w:szCs w:val="21"/>
        </w:rPr>
        <w:t xml:space="preserve">If provisional: conversion vote calendared (Yes/No/N/A)</w:t>
      </w:r>
    </w:p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Director Signature: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Printed Name: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Board Chair Acknowledgment: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07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Board Member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2026-02-28T21:27:36.477Z</dcterms:created>
  <dcterms:modified xsi:type="dcterms:W3CDTF">2026-02-28T21:27:36.477Z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