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B8963E" w:sz="24" w:space="1"/>
        </w:pBdr>
        <w:spacing w:after="0" w:before="0"/>
      </w:pPr>
    </w:p>
    <w:p>
      <w:pPr>
        <w:spacing w:after="0" w:before="480"/>
      </w:pPr>
    </w:p>
    <w:p>
      <w:pPr>
        <w:spacing w:after="80" w:before="0"/>
        <w:jc w:val="center"/>
      </w:pPr>
      <w:r>
        <w:rPr>
          <w:rFonts w:ascii="Arial" w:cs="Arial" w:eastAsia="Arial" w:hAnsi="Arial"/>
          <w:b/>
          <w:bCs/>
          <w:color w:val="1B2B4B"/>
          <w:spacing w:val="80"/>
          <w:sz w:val="28"/>
          <w:szCs w:val="28"/>
        </w:rPr>
        <w:t xml:space="preserve">CIVICOS INSTITUTE</w:t>
      </w:r>
    </w:p>
    <w:p>
      <w:pPr>
        <w:pBdr>
          <w:bottom w:val="single" w:color="B8963E" w:sz="6" w:space="4"/>
        </w:pBdr>
        <w:spacing w:after="240" w:before="40"/>
        <w:jc w:val="center"/>
      </w:pPr>
    </w:p>
    <w:p>
      <w:pPr>
        <w:spacing w:after="60" w:before="0"/>
        <w:jc w:val="center"/>
      </w:pPr>
      <w:r>
        <w:rPr>
          <w:rFonts w:ascii="Arial" w:cs="Arial" w:eastAsia="Arial" w:hAnsi="Arial"/>
          <w:color w:val="6B7280"/>
          <w:spacing w:val="60"/>
          <w:sz w:val="18"/>
          <w:szCs w:val="18"/>
        </w:rPr>
        <w:t xml:space="preserve">GOVERNANCE DOCUMENT</w:t>
      </w:r>
    </w:p>
    <w:p>
      <w:pPr>
        <w:spacing w:after="40" w:before="0"/>
        <w:jc w:val="center"/>
      </w:pPr>
      <w:r>
        <w:rPr>
          <w:rFonts w:ascii="Arial" w:cs="Arial" w:eastAsia="Arial" w:hAnsi="Arial"/>
          <w:b/>
          <w:bCs/>
          <w:color w:val="1B2B4B"/>
          <w:sz w:val="40"/>
          <w:szCs w:val="40"/>
        </w:rPr>
        <w:t xml:space="preserve">Compensation Review Policy</w:t>
      </w:r>
    </w:p>
    <w:p>
      <w:pPr>
        <w:spacing w:after="0" w:before="360"/>
      </w:pPr>
    </w:p>
    <w:p>
      <w:pPr>
        <w:pBdr>
          <w:bottom w:val="single" w:color="D0D5DD" w:sz="4" w:space="1"/>
        </w:pBdr>
        <w:spacing w:after="80" w:before="80"/>
      </w:pPr>
    </w:p>
    <w:p>
      <w:pPr>
        <w:spacing w:after="0" w:before="120"/>
      </w:pPr>
    </w:p>
    <w:p>
      <w:pPr>
        <w:spacing w:after="60" w:before="60"/>
      </w:pPr>
      <w:r>
        <w:rPr>
          <w:rFonts w:ascii="Arial" w:cs="Arial" w:eastAsia="Arial" w:hAnsi="Arial"/>
          <w:b/>
          <w:bCs/>
          <w:color w:val="1B2B4B"/>
          <w:sz w:val="20"/>
          <w:szCs w:val="20"/>
        </w:rPr>
        <w:t xml:space="preserve">Document ID:  </w:t>
      </w:r>
      <w:r>
        <w:rPr>
          <w:rFonts w:ascii="Georgia" w:cs="Georgia" w:eastAsia="Georgia" w:hAnsi="Georgia"/>
          <w:color w:val="111111"/>
          <w:sz w:val="20"/>
          <w:szCs w:val="20"/>
        </w:rPr>
        <w:t xml:space="preserve">09</w:t>
      </w:r>
    </w:p>
    <w:p>
      <w:pPr>
        <w:spacing w:after="60" w:before="60"/>
      </w:pPr>
      <w:r>
        <w:rPr>
          <w:rFonts w:ascii="Arial" w:cs="Arial" w:eastAsia="Arial" w:hAnsi="Arial"/>
          <w:b/>
          <w:bCs/>
          <w:color w:val="1B2B4B"/>
          <w:sz w:val="20"/>
          <w:szCs w:val="20"/>
        </w:rPr>
        <w:t xml:space="preserve">Version:  </w:t>
      </w:r>
      <w:r>
        <w:rPr>
          <w:rFonts w:ascii="Georgia" w:cs="Georgia" w:eastAsia="Georgia" w:hAnsi="Georgia"/>
          <w:color w:val="111111"/>
          <w:sz w:val="20"/>
          <w:szCs w:val="20"/>
        </w:rPr>
        <w:t xml:space="preserve">1.0</w:t>
      </w:r>
    </w:p>
    <w:p>
      <w:pPr>
        <w:spacing w:after="60" w:before="60"/>
      </w:pPr>
      <w:r>
        <w:rPr>
          <w:rFonts w:ascii="Arial" w:cs="Arial" w:eastAsia="Arial" w:hAnsi="Arial"/>
          <w:b/>
          <w:bCs/>
          <w:color w:val="1B2B4B"/>
          <w:sz w:val="20"/>
          <w:szCs w:val="20"/>
        </w:rPr>
        <w:t xml:space="preserve">Status:  </w:t>
      </w:r>
      <w:r>
        <w:rPr>
          <w:rFonts w:ascii="Georgia" w:cs="Georgia" w:eastAsia="Georgia" w:hAnsi="Georgia"/>
          <w:color w:val="111111"/>
          <w:sz w:val="20"/>
          <w:szCs w:val="20"/>
        </w:rPr>
        <w:t xml:space="preserve">DRAFT — Pending Board Adoption</w:t>
      </w:r>
    </w:p>
    <w:p>
      <w:pPr>
        <w:spacing w:after="60" w:before="60"/>
      </w:pPr>
      <w:r>
        <w:rPr>
          <w:rFonts w:ascii="Arial" w:cs="Arial" w:eastAsia="Arial" w:hAnsi="Arial"/>
          <w:b/>
          <w:bCs/>
          <w:color w:val="1B2B4B"/>
          <w:sz w:val="20"/>
          <w:szCs w:val="20"/>
        </w:rPr>
        <w:t xml:space="preserve">Contact:  </w:t>
      </w:r>
      <w:r>
        <w:rPr>
          <w:rFonts w:ascii="Georgia" w:cs="Georgia" w:eastAsia="Georgia" w:hAnsi="Georgia"/>
          <w:color w:val="111111"/>
          <w:sz w:val="20"/>
          <w:szCs w:val="20"/>
        </w:rPr>
        <w:t xml:space="preserve">NCerbone@civicos-institute.org</w:t>
      </w:r>
    </w:p>
    <w:p>
      <w:pPr>
        <w:spacing w:after="0" w:before="120"/>
      </w:pPr>
    </w:p>
    <w:p>
      <w:pPr>
        <w:pBdr>
          <w:bottom w:val="single" w:color="D0D5DD" w:sz="4" w:space="1"/>
        </w:pBdr>
        <w:spacing w:after="80" w:before="80"/>
      </w:pPr>
    </w:p>
    <w:p>
      <w:pPr>
        <w:spacing w:after="0" w:before="80"/>
      </w:pPr>
    </w:p>
    <w:p>
      <w:pPr>
        <w:spacing w:after="40" w:before="0"/>
        <w:jc w:val="center"/>
      </w:pPr>
      <w:r>
        <w:rPr>
          <w:rFonts w:ascii="Arial" w:cs="Arial" w:eastAsia="Arial" w:hAnsi="Arial"/>
          <w:color w:val="6B7280"/>
          <w:sz w:val="18"/>
          <w:szCs w:val="18"/>
        </w:rPr>
        <w:t xml:space="preserve">4884 Beresford Circle, West Palm Beach, Florida 33417</w:t>
      </w:r>
    </w:p>
    <w:p>
      <w:pPr>
        <w:spacing w:after="0" w:before="0"/>
        <w:jc w:val="center"/>
      </w:pPr>
      <w:r>
        <w:rPr>
          <w:rFonts w:ascii="Arial" w:cs="Arial" w:eastAsia="Arial" w:hAnsi="Arial"/>
          <w:color w:val="6B7280"/>
          <w:sz w:val="18"/>
          <w:szCs w:val="18"/>
        </w:rPr>
        <w:t xml:space="preserve">561-287-3579  ·  civicos-institute.org</w:t>
      </w:r>
    </w:p>
    <w:p>
      <w:pPr>
        <w:pageBreakBefore/>
      </w:pPr>
    </w:p>
    <w:p>
      <w:pPr>
        <w:pStyle w:val="Heading1"/>
        <w:pBdr>
          <w:bottom w:val="single" w:color="1B2B4B" w:sz="6" w:space="4"/>
        </w:pBdr>
        <w:spacing w:after="120" w:before="320"/>
      </w:pPr>
      <w:r>
        <w:rPr>
          <w:rFonts w:ascii="Arial" w:cs="Arial" w:eastAsia="Arial" w:hAnsi="Arial"/>
          <w:b/>
          <w:bCs/>
          <w:color w:val="1B2B4B"/>
          <w:sz w:val="26"/>
          <w:szCs w:val="26"/>
        </w:rPr>
        <w:t xml:space="preserve">1. Purpose</w:t>
      </w:r>
    </w:p>
    <w:p>
      <w:pPr>
        <w:spacing w:after="80" w:before="80" w:line="276"/>
      </w:pPr>
      <w:r>
        <w:rPr>
          <w:rFonts w:ascii="Georgia" w:cs="Georgia" w:eastAsia="Georgia" w:hAnsi="Georgia"/>
          <w:b w:val="false"/>
          <w:bCs w:val="false"/>
          <w:i w:val="false"/>
          <w:iCs w:val="false"/>
          <w:color w:val="111111"/>
          <w:sz w:val="22"/>
          <w:szCs w:val="22"/>
        </w:rPr>
        <w:t xml:space="preserve">Defines compensation governance for ED, officers, and key employees.</w:t>
      </w:r>
    </w:p>
    <w:p>
      <w:pPr>
        <w:pStyle w:val="Heading1"/>
        <w:pBdr>
          <w:bottom w:val="single" w:color="1B2B4B" w:sz="6" w:space="4"/>
        </w:pBdr>
        <w:spacing w:after="120" w:before="320"/>
      </w:pPr>
      <w:r>
        <w:rPr>
          <w:rFonts w:ascii="Arial" w:cs="Arial" w:eastAsia="Arial" w:hAnsi="Arial"/>
          <w:b/>
          <w:bCs/>
          <w:color w:val="1B2B4B"/>
          <w:sz w:val="26"/>
          <w:szCs w:val="26"/>
        </w:rPr>
        <w:t xml:space="preserve">2. Scope</w:t>
      </w:r>
    </w:p>
    <w:p>
      <w:pPr>
        <w:spacing w:after="80" w:before="80" w:line="276"/>
      </w:pPr>
      <w:r>
        <w:rPr>
          <w:rFonts w:ascii="Georgia" w:cs="Georgia" w:eastAsia="Georgia" w:hAnsi="Georgia"/>
          <w:b w:val="false"/>
          <w:bCs w:val="false"/>
          <w:i w:val="false"/>
          <w:iCs w:val="false"/>
          <w:color w:val="111111"/>
          <w:sz w:val="22"/>
          <w:szCs w:val="22"/>
        </w:rPr>
        <w:t xml:space="preserve">Applies to compensation determinations and review cycles.</w:t>
      </w:r>
    </w:p>
    <w:p>
      <w:pPr>
        <w:pStyle w:val="Heading1"/>
        <w:pBdr>
          <w:bottom w:val="single" w:color="1B2B4B" w:sz="6" w:space="4"/>
        </w:pBdr>
        <w:spacing w:after="120" w:before="320"/>
      </w:pPr>
      <w:r>
        <w:rPr>
          <w:rFonts w:ascii="Arial" w:cs="Arial" w:eastAsia="Arial" w:hAnsi="Arial"/>
          <w:b/>
          <w:bCs/>
          <w:color w:val="1B2B4B"/>
          <w:sz w:val="26"/>
          <w:szCs w:val="26"/>
        </w:rPr>
        <w:t xml:space="preserve">3. Governing Standard</w:t>
      </w:r>
    </w:p>
    <w:p>
      <w:pPr>
        <w:spacing w:after="80" w:before="80" w:line="276"/>
      </w:pPr>
      <w:r>
        <w:rPr>
          <w:rFonts w:ascii="Georgia" w:cs="Georgia" w:eastAsia="Georgia" w:hAnsi="Georgia"/>
          <w:b w:val="false"/>
          <w:bCs w:val="false"/>
          <w:i w:val="false"/>
          <w:iCs w:val="false"/>
          <w:color w:val="111111"/>
          <w:sz w:val="22"/>
          <w:szCs w:val="22"/>
        </w:rPr>
        <w:t xml:space="preserve">Compensation must be reasonable and documented.</w:t>
      </w:r>
    </w:p>
    <w:p>
      <w:pPr>
        <w:pStyle w:val="Heading1"/>
        <w:pBdr>
          <w:bottom w:val="single" w:color="1B2B4B" w:sz="6" w:space="4"/>
        </w:pBdr>
        <w:spacing w:after="120" w:before="320"/>
      </w:pPr>
      <w:r>
        <w:rPr>
          <w:rFonts w:ascii="Arial" w:cs="Arial" w:eastAsia="Arial" w:hAnsi="Arial"/>
          <w:b/>
          <w:bCs/>
          <w:color w:val="1B2B4B"/>
          <w:sz w:val="26"/>
          <w:szCs w:val="26"/>
        </w:rPr>
        <w:t xml:space="preserve">4. Rebuttable Presumption Procedure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gridSpan w:val="1"/>
            <w:tcBorders>
              <w:top w:val="single" w:color="D0D5DD" w:sz="4"/>
              <w:left w:val="single" w:color="D0D5DD" w:sz="4"/>
              <w:bottom w:val="single" w:color="D0D5DD" w:sz="4"/>
              <w:right w:val="single" w:color="D0D5DD" w:sz="4"/>
            </w:tcBorders>
            <w:shd w:fill="1B2B4B" w:val="clear"/>
            <w:tcMar>
              <w:top w:type="dxa" w:w="100"/>
              <w:left w:type="dxa" w:w="140"/>
              <w:bottom w:type="dxa" w:w="100"/>
              <w:right w:type="dxa" w:w="140"/>
            </w:tcMar>
            <w:vAlign w:val="center"/>
          </w:tcPr>
          <w:p>
            <w:pPr>
              <w:spacing w:after="0" w:before="0"/>
              <w:jc w:val="left"/>
            </w:pPr>
            <w:r>
              <w:rPr>
                <w:rFonts w:ascii="Arial" w:cs="Arial" w:eastAsia="Arial" w:hAnsi="Arial"/>
                <w:b/>
                <w:bCs/>
                <w:i w:val="false"/>
                <w:iCs w:val="false"/>
                <w:color w:val="FFFFFF"/>
                <w:sz w:val="20"/>
                <w:szCs w:val="20"/>
              </w:rPr>
              <w:t xml:space="preserve">Element</w:t>
            </w:r>
          </w:p>
        </w:tc>
        <w:tc>
          <w:tcPr>
            <w:tcW w:type="dxa" w:w="6160"/>
            <w:gridSpan w:val="1"/>
            <w:tcBorders>
              <w:top w:val="single" w:color="D0D5DD" w:sz="4"/>
              <w:left w:val="single" w:color="D0D5DD" w:sz="4"/>
              <w:bottom w:val="single" w:color="D0D5DD" w:sz="4"/>
              <w:right w:val="single" w:color="D0D5DD" w:sz="4"/>
            </w:tcBorders>
            <w:shd w:fill="1B2B4B" w:val="clear"/>
            <w:tcMar>
              <w:top w:type="dxa" w:w="100"/>
              <w:left w:type="dxa" w:w="140"/>
              <w:bottom w:type="dxa" w:w="100"/>
              <w:right w:type="dxa" w:w="140"/>
            </w:tcMar>
            <w:vAlign w:val="center"/>
          </w:tcPr>
          <w:p>
            <w:pPr>
              <w:spacing w:after="0" w:before="0"/>
              <w:jc w:val="left"/>
            </w:pPr>
            <w:r>
              <w:rPr>
                <w:rFonts w:ascii="Arial" w:cs="Arial" w:eastAsia="Arial" w:hAnsi="Arial"/>
                <w:b/>
                <w:bCs/>
                <w:i w:val="false"/>
                <w:iCs w:val="false"/>
                <w:color w:val="FFFFFF"/>
                <w:sz w:val="20"/>
                <w:szCs w:val="20"/>
              </w:rPr>
              <w:t xml:space="preserve">Requirement</w:t>
            </w:r>
          </w:p>
        </w:tc>
      </w:tr>
      <w:tr>
        <w:trPr>
          <w:tblHeader w:val="false"/>
        </w:trPr>
        <w:tc>
          <w:tcPr>
            <w:tcW w:type="dxa" w:w="3200"/>
            <w:gridSpan w:val="1"/>
            <w:tcBorders>
              <w:top w:val="single" w:color="D0D5DD" w:sz="4"/>
              <w:left w:val="single" w:color="D0D5DD" w:sz="4"/>
              <w:bottom w:val="single" w:color="D0D5DD" w:sz="4"/>
              <w:right w:val="single" w:color="D0D5DD" w:sz="4"/>
            </w:tcBorders>
            <w:shd w:fill="F2F4F7"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Independent approval</w:t>
            </w:r>
          </w:p>
        </w:tc>
        <w:tc>
          <w:tcPr>
            <w:tcW w:type="dxa" w:w="6160"/>
            <w:gridSpan w:val="1"/>
            <w:tcBorders>
              <w:top w:val="single" w:color="D0D5DD" w:sz="4"/>
              <w:left w:val="single" w:color="D0D5DD" w:sz="4"/>
              <w:bottom w:val="single" w:color="D0D5DD" w:sz="4"/>
              <w:right w:val="single" w:color="D0D5DD" w:sz="4"/>
            </w:tcBorders>
            <w:shd w:fill="F2F4F7"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Disinterested authorized body approval</w:t>
            </w:r>
          </w:p>
        </w:tc>
      </w:tr>
      <w:tr>
        <w:trPr>
          <w:tblHeader w:val="false"/>
        </w:trPr>
        <w:tc>
          <w:tcPr>
            <w:tcW w:type="dxa" w:w="3200"/>
            <w:gridSpan w:val="1"/>
            <w:tcBorders>
              <w:top w:val="single" w:color="D0D5DD" w:sz="4"/>
              <w:left w:val="single" w:color="D0D5DD" w:sz="4"/>
              <w:bottom w:val="single" w:color="D0D5DD" w:sz="4"/>
              <w:right w:val="single" w:color="D0D5DD" w:sz="4"/>
            </w:tcBorders>
            <w:shd w:fill="FFFFFF"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Comparability data</w:t>
            </w:r>
          </w:p>
        </w:tc>
        <w:tc>
          <w:tcPr>
            <w:tcW w:type="dxa" w:w="6160"/>
            <w:gridSpan w:val="1"/>
            <w:tcBorders>
              <w:top w:val="single" w:color="D0D5DD" w:sz="4"/>
              <w:left w:val="single" w:color="D0D5DD" w:sz="4"/>
              <w:bottom w:val="single" w:color="D0D5DD" w:sz="4"/>
              <w:right w:val="single" w:color="D0D5DD" w:sz="4"/>
            </w:tcBorders>
            <w:shd w:fill="FFFFFF"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Market benchmarks and documented references</w:t>
            </w:r>
          </w:p>
        </w:tc>
      </w:tr>
      <w:tr>
        <w:trPr>
          <w:tblHeader w:val="false"/>
        </w:trPr>
        <w:tc>
          <w:tcPr>
            <w:tcW w:type="dxa" w:w="3200"/>
            <w:gridSpan w:val="1"/>
            <w:tcBorders>
              <w:top w:val="single" w:color="D0D5DD" w:sz="4"/>
              <w:left w:val="single" w:color="D0D5DD" w:sz="4"/>
              <w:bottom w:val="single" w:color="D0D5DD" w:sz="4"/>
              <w:right w:val="single" w:color="D0D5DD" w:sz="4"/>
            </w:tcBorders>
            <w:shd w:fill="F2F4F7"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Contemporaneous documentation</w:t>
            </w:r>
          </w:p>
        </w:tc>
        <w:tc>
          <w:tcPr>
            <w:tcW w:type="dxa" w:w="6160"/>
            <w:gridSpan w:val="1"/>
            <w:tcBorders>
              <w:top w:val="single" w:color="D0D5DD" w:sz="4"/>
              <w:left w:val="single" w:color="D0D5DD" w:sz="4"/>
              <w:bottom w:val="single" w:color="D0D5DD" w:sz="4"/>
              <w:right w:val="single" w:color="D0D5DD" w:sz="4"/>
            </w:tcBorders>
            <w:shd w:fill="F2F4F7"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Minutes and written rationale</w:t>
            </w:r>
          </w:p>
        </w:tc>
      </w:tr>
    </w:tbl>
    <w:p>
      <w:pPr>
        <w:pStyle w:val="Heading1"/>
        <w:pBdr>
          <w:bottom w:val="single" w:color="1B2B4B" w:sz="6" w:space="4"/>
        </w:pBdr>
        <w:spacing w:after="120" w:before="320"/>
      </w:pPr>
      <w:r>
        <w:rPr>
          <w:rFonts w:ascii="Arial" w:cs="Arial" w:eastAsia="Arial" w:hAnsi="Arial"/>
          <w:b/>
          <w:bCs/>
          <w:color w:val="1B2B4B"/>
          <w:sz w:val="26"/>
          <w:szCs w:val="26"/>
        </w:rPr>
        <w:t xml:space="preserve">5. Approval Authority</w:t>
      </w:r>
    </w:p>
    <w:p>
      <w:pPr>
        <w:spacing w:after="80" w:before="80" w:line="276"/>
      </w:pPr>
      <w:r>
        <w:rPr>
          <w:rFonts w:ascii="Georgia" w:cs="Georgia" w:eastAsia="Georgia" w:hAnsi="Georgia"/>
          <w:b w:val="false"/>
          <w:bCs w:val="false"/>
          <w:i w:val="false"/>
          <w:iCs w:val="false"/>
          <w:color w:val="111111"/>
          <w:sz w:val="22"/>
          <w:szCs w:val="22"/>
        </w:rPr>
        <w:t xml:space="preserve">Approval levels align with delegation and board governance controls.</w:t>
      </w:r>
    </w:p>
    <w:p>
      <w:pPr>
        <w:pStyle w:val="Heading1"/>
        <w:pBdr>
          <w:bottom w:val="single" w:color="1B2B4B" w:sz="6" w:space="4"/>
        </w:pBdr>
        <w:spacing w:after="120" w:before="320"/>
      </w:pPr>
      <w:r>
        <w:rPr>
          <w:rFonts w:ascii="Arial" w:cs="Arial" w:eastAsia="Arial" w:hAnsi="Arial"/>
          <w:b/>
          <w:bCs/>
          <w:color w:val="1B2B4B"/>
          <w:sz w:val="26"/>
          <w:szCs w:val="26"/>
        </w:rPr>
        <w:t xml:space="preserve">6. Conflict and Recusal</w:t>
      </w:r>
    </w:p>
    <w:p>
      <w:pPr>
        <w:spacing w:after="80" w:before="80" w:line="276"/>
      </w:pPr>
      <w:r>
        <w:rPr>
          <w:rFonts w:ascii="Georgia" w:cs="Georgia" w:eastAsia="Georgia" w:hAnsi="Georgia"/>
          <w:b w:val="false"/>
          <w:bCs w:val="false"/>
          <w:i w:val="false"/>
          <w:iCs w:val="false"/>
          <w:color w:val="111111"/>
          <w:sz w:val="22"/>
          <w:szCs w:val="22"/>
        </w:rPr>
        <w:t xml:space="preserve">Conflicted individuals disclose and recuse.</w:t>
      </w:r>
    </w:p>
    <w:p>
      <w:pPr>
        <w:pStyle w:val="Heading1"/>
        <w:pBdr>
          <w:bottom w:val="single" w:color="1B2B4B" w:sz="6" w:space="4"/>
        </w:pBdr>
        <w:spacing w:after="120" w:before="320"/>
      </w:pPr>
      <w:r>
        <w:rPr>
          <w:rFonts w:ascii="Arial" w:cs="Arial" w:eastAsia="Arial" w:hAnsi="Arial"/>
          <w:b/>
          <w:bCs/>
          <w:color w:val="1B2B4B"/>
          <w:sz w:val="26"/>
          <w:szCs w:val="26"/>
        </w:rPr>
        <w:t xml:space="preserve">7. Annual Review Cycle</w:t>
      </w:r>
    </w:p>
    <w:p>
      <w:pPr>
        <w:spacing w:after="80" w:before="80" w:line="276"/>
      </w:pPr>
      <w:r>
        <w:rPr>
          <w:rFonts w:ascii="Georgia" w:cs="Georgia" w:eastAsia="Georgia" w:hAnsi="Georgia"/>
          <w:b w:val="false"/>
          <w:bCs w:val="false"/>
          <w:i w:val="false"/>
          <w:iCs w:val="false"/>
          <w:color w:val="111111"/>
          <w:sz w:val="22"/>
          <w:szCs w:val="22"/>
        </w:rPr>
        <w:t xml:space="preserve">Annual review aligned to budget and fiscal cycle.</w:t>
      </w:r>
    </w:p>
    <w:p>
      <w:pPr>
        <w:pStyle w:val="Heading1"/>
        <w:pBdr>
          <w:bottom w:val="single" w:color="1B2B4B" w:sz="6" w:space="4"/>
        </w:pBdr>
        <w:spacing w:after="120" w:before="320"/>
      </w:pPr>
      <w:r>
        <w:rPr>
          <w:rFonts w:ascii="Arial" w:cs="Arial" w:eastAsia="Arial" w:hAnsi="Arial"/>
          <w:b/>
          <w:bCs/>
          <w:color w:val="1B2B4B"/>
          <w:sz w:val="26"/>
          <w:szCs w:val="26"/>
        </w:rPr>
        <w:t xml:space="preserve">8. Mid-Cycle Adjustments</w:t>
      </w:r>
    </w:p>
    <w:p>
      <w:pPr>
        <w:spacing w:after="80" w:before="80" w:line="276"/>
      </w:pPr>
      <w:r>
        <w:rPr>
          <w:rFonts w:ascii="Georgia" w:cs="Georgia" w:eastAsia="Georgia" w:hAnsi="Georgia"/>
          <w:b w:val="false"/>
          <w:bCs w:val="false"/>
          <w:i w:val="false"/>
          <w:iCs w:val="false"/>
          <w:color w:val="111111"/>
          <w:sz w:val="22"/>
          <w:szCs w:val="22"/>
        </w:rPr>
        <w:t xml:space="preserve">Requests initiated by the Executive Director for their own compensation review must be submitted in writing to the Board Chair, who convenes the independent review process.</w:t>
      </w:r>
    </w:p>
    <w:p>
      <w:pPr>
        <w:pStyle w:val="Heading1"/>
        <w:pBdr>
          <w:bottom w:val="single" w:color="1B2B4B" w:sz="6" w:space="4"/>
        </w:pBdr>
        <w:spacing w:after="120" w:before="320"/>
      </w:pPr>
      <w:r>
        <w:rPr>
          <w:rFonts w:ascii="Arial" w:cs="Arial" w:eastAsia="Arial" w:hAnsi="Arial"/>
          <w:b/>
          <w:bCs/>
          <w:color w:val="1B2B4B"/>
          <w:sz w:val="26"/>
          <w:szCs w:val="26"/>
        </w:rPr>
        <w:t xml:space="preserve">9. Excess Benefit Prevention</w:t>
      </w:r>
    </w:p>
    <w:p>
      <w:pPr>
        <w:spacing w:after="80" w:before="80" w:line="276"/>
      </w:pPr>
      <w:r>
        <w:rPr>
          <w:rFonts w:ascii="Georgia" w:cs="Georgia" w:eastAsia="Georgia" w:hAnsi="Georgia"/>
          <w:b w:val="false"/>
          <w:bCs w:val="false"/>
          <w:i w:val="false"/>
          <w:iCs w:val="false"/>
          <w:color w:val="111111"/>
          <w:sz w:val="22"/>
          <w:szCs w:val="22"/>
        </w:rPr>
        <w:t xml:space="preserve">Escalation and remediation controls apply to potential excess benefit events.</w:t>
      </w:r>
    </w:p>
    <w:p>
      <w:pPr>
        <w:spacing w:after="80" w:before="80" w:line="276"/>
      </w:pPr>
      <w:r>
        <w:rPr>
          <w:rFonts w:ascii="Georgia" w:cs="Georgia" w:eastAsia="Georgia" w:hAnsi="Georgia"/>
          <w:b w:val="false"/>
          <w:bCs w:val="false"/>
          <w:i/>
          <w:iCs/>
          <w:color w:val="111111"/>
          <w:sz w:val="22"/>
          <w:szCs w:val="22"/>
        </w:rPr>
        <w:t xml:space="preserve">Note for legal review: Excess benefit transactions under IRC 4958 may carry excise tax exposure on the disqualified person. Legal counsel should advise whether explicit IRC 4958 citation is appropriate in this policy or should remain in separate legal guidance.</w:t>
      </w:r>
    </w:p>
    <w:p>
      <w:pPr>
        <w:pStyle w:val="Heading1"/>
        <w:pBdr>
          <w:bottom w:val="single" w:color="1B2B4B" w:sz="6" w:space="4"/>
        </w:pBdr>
        <w:spacing w:after="120" w:before="320"/>
      </w:pPr>
      <w:r>
        <w:rPr>
          <w:rFonts w:ascii="Arial" w:cs="Arial" w:eastAsia="Arial" w:hAnsi="Arial"/>
          <w:b/>
          <w:bCs/>
          <w:color w:val="1B2B4B"/>
          <w:sz w:val="26"/>
          <w:szCs w:val="26"/>
        </w:rPr>
        <w:t xml:space="preserve">10. Recordkeeping</w:t>
      </w:r>
    </w:p>
    <w:p>
      <w:pPr>
        <w:spacing w:after="80" w:before="80" w:line="276"/>
      </w:pPr>
      <w:r>
        <w:rPr>
          <w:rFonts w:ascii="Georgia" w:cs="Georgia" w:eastAsia="Georgia" w:hAnsi="Georgia"/>
          <w:b w:val="false"/>
          <w:bCs w:val="false"/>
          <w:i w:val="false"/>
          <w:iCs w:val="false"/>
          <w:color w:val="111111"/>
          <w:sz w:val="22"/>
          <w:szCs w:val="22"/>
        </w:rPr>
        <w:t xml:space="preserve">Comparability and approval records retained per records policy.</w:t>
      </w:r>
    </w:p>
    <w:p>
      <w:pPr>
        <w:pStyle w:val="Heading1"/>
        <w:pBdr>
          <w:bottom w:val="single" w:color="1B2B4B" w:sz="6" w:space="4"/>
        </w:pBdr>
        <w:spacing w:after="120" w:before="320"/>
      </w:pPr>
      <w:r>
        <w:rPr>
          <w:rFonts w:ascii="Arial" w:cs="Arial" w:eastAsia="Arial" w:hAnsi="Arial"/>
          <w:b/>
          <w:bCs/>
          <w:color w:val="1B2B4B"/>
          <w:sz w:val="26"/>
          <w:szCs w:val="26"/>
        </w:rPr>
        <w:t xml:space="preserve">11. Board Member Compensation</w:t>
      </w:r>
    </w:p>
    <w:p>
      <w:pPr>
        <w:spacing w:after="80" w:before="80" w:line="276"/>
      </w:pPr>
      <w:r>
        <w:rPr>
          <w:rFonts w:ascii="Georgia" w:cs="Georgia" w:eastAsia="Georgia" w:hAnsi="Georgia"/>
          <w:b w:val="false"/>
          <w:bCs w:val="false"/>
          <w:i w:val="false"/>
          <w:iCs w:val="false"/>
          <w:color w:val="111111"/>
          <w:sz w:val="22"/>
          <w:szCs w:val="22"/>
        </w:rPr>
        <w:t xml:space="preserve">Disinterested review required for any board member compensation action.</w:t>
      </w:r>
    </w:p>
    <w:p>
      <w:pPr>
        <w:spacing w:after="80" w:before="80" w:line="276"/>
      </w:pPr>
      <w:r>
        <w:rPr>
          <w:rFonts w:ascii="Georgia" w:cs="Georgia" w:eastAsia="Georgia" w:hAnsi="Georgia"/>
          <w:b w:val="false"/>
          <w:bCs w:val="false"/>
          <w:i/>
          <w:iCs/>
          <w:color w:val="111111"/>
          <w:sz w:val="22"/>
          <w:szCs w:val="22"/>
        </w:rPr>
        <w:t xml:space="preserve">Note for legal review: Confirm whether Florida nonprofit law imposes additional constraints on director compensation beyond Bylaws provisions.</w:t>
      </w:r>
    </w:p>
    <w:p>
      <w:pPr>
        <w:pStyle w:val="Heading1"/>
        <w:pBdr>
          <w:bottom w:val="single" w:color="1B2B4B" w:sz="6" w:space="4"/>
        </w:pBdr>
        <w:spacing w:after="120" w:before="320"/>
      </w:pPr>
      <w:r>
        <w:rPr>
          <w:rFonts w:ascii="Arial" w:cs="Arial" w:eastAsia="Arial" w:hAnsi="Arial"/>
          <w:b/>
          <w:bCs/>
          <w:color w:val="1B2B4B"/>
          <w:sz w:val="26"/>
          <w:szCs w:val="26"/>
        </w:rPr>
        <w:t xml:space="preserve">12. Coordination with Other Policies</w:t>
      </w:r>
    </w:p>
    <w:p>
      <w:pPr>
        <w:spacing w:after="80" w:before="80" w:line="276"/>
      </w:pPr>
      <w:r>
        <w:rPr>
          <w:rFonts w:ascii="Georgia" w:cs="Georgia" w:eastAsia="Georgia" w:hAnsi="Georgia"/>
          <w:b w:val="false"/>
          <w:bCs w:val="false"/>
          <w:i w:val="false"/>
          <w:iCs w:val="false"/>
          <w:color w:val="111111"/>
          <w:sz w:val="22"/>
          <w:szCs w:val="22"/>
        </w:rPr>
        <w:t xml:space="preserve">Read in conjunction with bylaws, COI, and delegation matrix.</w:t>
      </w:r>
    </w:p>
    <w:p>
      <w:pPr>
        <w:pStyle w:val="Heading1"/>
        <w:pBdr>
          <w:bottom w:val="single" w:color="1B2B4B" w:sz="6" w:space="4"/>
        </w:pBdr>
        <w:spacing w:after="120" w:before="320"/>
      </w:pPr>
      <w:r>
        <w:rPr>
          <w:rFonts w:ascii="Arial" w:cs="Arial" w:eastAsia="Arial" w:hAnsi="Arial"/>
          <w:b/>
          <w:bCs/>
          <w:color w:val="1B2B4B"/>
          <w:sz w:val="26"/>
          <w:szCs w:val="26"/>
        </w:rPr>
        <w:t xml:space="preserve">13. Review and Amendment</w:t>
      </w:r>
    </w:p>
    <w:p>
      <w:pPr>
        <w:spacing w:after="80" w:before="80" w:line="276"/>
      </w:pPr>
      <w:r>
        <w:rPr>
          <w:rFonts w:ascii="Georgia" w:cs="Georgia" w:eastAsia="Georgia" w:hAnsi="Georgia"/>
          <w:b w:val="false"/>
          <w:bCs w:val="false"/>
          <w:i w:val="false"/>
          <w:iCs w:val="false"/>
          <w:color w:val="111111"/>
          <w:sz w:val="22"/>
          <w:szCs w:val="22"/>
        </w:rPr>
        <w:t xml:space="preserve">Board may amend per formal governance process.</w:t>
      </w:r>
    </w:p>
    <w:p>
      <w:pPr>
        <w:pStyle w:val="Heading1"/>
        <w:pBdr>
          <w:bottom w:val="single" w:color="1B2B4B" w:sz="6" w:space="4"/>
        </w:pBdr>
        <w:spacing w:after="120" w:before="320"/>
      </w:pPr>
      <w:r>
        <w:rPr>
          <w:rFonts w:ascii="Arial" w:cs="Arial" w:eastAsia="Arial" w:hAnsi="Arial"/>
          <w:b/>
          <w:bCs/>
          <w:color w:val="1B2B4B"/>
          <w:sz w:val="26"/>
          <w:szCs w:val="26"/>
        </w:rPr>
        <w:t xml:space="preserve">14. Adoption</w:t>
      </w:r>
    </w:p>
    <w:p>
      <w:pPr>
        <w:spacing w:after="80" w:before="80" w:line="276"/>
      </w:pPr>
      <w:r>
        <w:rPr>
          <w:rFonts w:ascii="Georgia" w:cs="Georgia" w:eastAsia="Georgia" w:hAnsi="Georgia"/>
          <w:b w:val="false"/>
          <w:bCs w:val="false"/>
          <w:i w:val="false"/>
          <w:iCs w:val="false"/>
          <w:color w:val="111111"/>
          <w:sz w:val="22"/>
          <w:szCs w:val="22"/>
        </w:rPr>
        <w:t xml:space="preserve">Adoption and next review dates recorded in governance records.</w:t>
      </w:r>
    </w:p>
    <w:p>
      <w:pPr>
        <w:pStyle w:val="Heading2"/>
        <w:spacing w:after="80" w:before="220"/>
      </w:pPr>
      <w:r>
        <w:rPr>
          <w:rFonts w:ascii="Arial" w:cs="Arial" w:eastAsia="Arial" w:hAnsi="Arial"/>
          <w:b/>
          <w:bCs/>
          <w:color w:val="1B2B4B"/>
          <w:sz w:val="23"/>
          <w:szCs w:val="23"/>
        </w:rPr>
        <w:t xml:space="preserve">Comparability Data 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rPr>
          <w:tblHeader/>
        </w:trPr>
        <w:tc>
          <w:tcPr>
            <w:tcW w:type="dxa" w:w="3800"/>
            <w:gridSpan w:val="1"/>
            <w:tcBorders>
              <w:top w:val="single" w:color="D0D5DD" w:sz="4"/>
              <w:left w:val="single" w:color="D0D5DD" w:sz="4"/>
              <w:bottom w:val="single" w:color="D0D5DD" w:sz="4"/>
              <w:right w:val="single" w:color="D0D5DD" w:sz="4"/>
            </w:tcBorders>
            <w:shd w:fill="1B2B4B" w:val="clear"/>
            <w:tcMar>
              <w:top w:type="dxa" w:w="100"/>
              <w:left w:type="dxa" w:w="140"/>
              <w:bottom w:type="dxa" w:w="100"/>
              <w:right w:type="dxa" w:w="140"/>
            </w:tcMar>
            <w:vAlign w:val="center"/>
          </w:tcPr>
          <w:p>
            <w:pPr>
              <w:spacing w:after="0" w:before="0"/>
              <w:jc w:val="left"/>
            </w:pPr>
            <w:r>
              <w:rPr>
                <w:rFonts w:ascii="Arial" w:cs="Arial" w:eastAsia="Arial" w:hAnsi="Arial"/>
                <w:b/>
                <w:bCs/>
                <w:i w:val="false"/>
                <w:iCs w:val="false"/>
                <w:color w:val="FFFFFF"/>
                <w:sz w:val="20"/>
                <w:szCs w:val="20"/>
              </w:rPr>
              <w:t xml:space="preserve">Source</w:t>
            </w:r>
          </w:p>
        </w:tc>
        <w:tc>
          <w:tcPr>
            <w:tcW w:type="dxa" w:w="5560"/>
            <w:gridSpan w:val="1"/>
            <w:tcBorders>
              <w:top w:val="single" w:color="D0D5DD" w:sz="4"/>
              <w:left w:val="single" w:color="D0D5DD" w:sz="4"/>
              <w:bottom w:val="single" w:color="D0D5DD" w:sz="4"/>
              <w:right w:val="single" w:color="D0D5DD" w:sz="4"/>
            </w:tcBorders>
            <w:shd w:fill="1B2B4B" w:val="clear"/>
            <w:tcMar>
              <w:top w:type="dxa" w:w="100"/>
              <w:left w:type="dxa" w:w="140"/>
              <w:bottom w:type="dxa" w:w="100"/>
              <w:right w:type="dxa" w:w="140"/>
            </w:tcMar>
            <w:vAlign w:val="center"/>
          </w:tcPr>
          <w:p>
            <w:pPr>
              <w:spacing w:after="0" w:before="0"/>
              <w:jc w:val="left"/>
            </w:pPr>
            <w:r>
              <w:rPr>
                <w:rFonts w:ascii="Arial" w:cs="Arial" w:eastAsia="Arial" w:hAnsi="Arial"/>
                <w:b/>
                <w:bCs/>
                <w:i w:val="false"/>
                <w:iCs w:val="false"/>
                <w:color w:val="FFFFFF"/>
                <w:sz w:val="20"/>
                <w:szCs w:val="20"/>
              </w:rPr>
              <w:t xml:space="preserve">Use</w:t>
            </w:r>
          </w:p>
        </w:tc>
      </w:tr>
      <w:tr>
        <w:trPr>
          <w:tblHeader w:val="false"/>
        </w:trPr>
        <w:tc>
          <w:tcPr>
            <w:tcW w:type="dxa" w:w="3800"/>
            <w:gridSpan w:val="1"/>
            <w:tcBorders>
              <w:top w:val="single" w:color="D0D5DD" w:sz="4"/>
              <w:left w:val="single" w:color="D0D5DD" w:sz="4"/>
              <w:bottom w:val="single" w:color="D0D5DD" w:sz="4"/>
              <w:right w:val="single" w:color="D0D5DD" w:sz="4"/>
            </w:tcBorders>
            <w:shd w:fill="F2F4F7"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Form 990 peer organizations</w:t>
            </w:r>
          </w:p>
        </w:tc>
        <w:tc>
          <w:tcPr>
            <w:tcW w:type="dxa" w:w="5560"/>
            <w:gridSpan w:val="1"/>
            <w:tcBorders>
              <w:top w:val="single" w:color="D0D5DD" w:sz="4"/>
              <w:left w:val="single" w:color="D0D5DD" w:sz="4"/>
              <w:bottom w:val="single" w:color="D0D5DD" w:sz="4"/>
              <w:right w:val="single" w:color="D0D5DD" w:sz="4"/>
            </w:tcBorders>
            <w:shd w:fill="F2F4F7"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Role-aligned compensation ranges</w:t>
            </w:r>
          </w:p>
        </w:tc>
      </w:tr>
      <w:tr>
        <w:trPr>
          <w:tblHeader w:val="false"/>
        </w:trPr>
        <w:tc>
          <w:tcPr>
            <w:tcW w:type="dxa" w:w="3800"/>
            <w:gridSpan w:val="1"/>
            <w:tcBorders>
              <w:top w:val="single" w:color="D0D5DD" w:sz="4"/>
              <w:left w:val="single" w:color="D0D5DD" w:sz="4"/>
              <w:bottom w:val="single" w:color="D0D5DD" w:sz="4"/>
              <w:right w:val="single" w:color="D0D5DD" w:sz="4"/>
            </w:tcBorders>
            <w:shd w:fill="FFFFFF"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Compensation surveys</w:t>
            </w:r>
          </w:p>
        </w:tc>
        <w:tc>
          <w:tcPr>
            <w:tcW w:type="dxa" w:w="5560"/>
            <w:gridSpan w:val="1"/>
            <w:tcBorders>
              <w:top w:val="single" w:color="D0D5DD" w:sz="4"/>
              <w:left w:val="single" w:color="D0D5DD" w:sz="4"/>
              <w:bottom w:val="single" w:color="D0D5DD" w:sz="4"/>
              <w:right w:val="single" w:color="D0D5DD" w:sz="4"/>
            </w:tcBorders>
            <w:shd w:fill="FFFFFF"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Market benchmarking</w:t>
            </w:r>
          </w:p>
        </w:tc>
      </w:tr>
      <w:tr>
        <w:trPr>
          <w:tblHeader w:val="false"/>
        </w:trPr>
        <w:tc>
          <w:tcPr>
            <w:tcW w:type="dxa" w:w="3800"/>
            <w:gridSpan w:val="1"/>
            <w:tcBorders>
              <w:top w:val="single" w:color="D0D5DD" w:sz="4"/>
              <w:left w:val="single" w:color="D0D5DD" w:sz="4"/>
              <w:bottom w:val="single" w:color="D0D5DD" w:sz="4"/>
              <w:right w:val="single" w:color="D0D5DD" w:sz="4"/>
            </w:tcBorders>
            <w:shd w:fill="F2F4F7"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Independent studies</w:t>
            </w:r>
          </w:p>
        </w:tc>
        <w:tc>
          <w:tcPr>
            <w:tcW w:type="dxa" w:w="5560"/>
            <w:gridSpan w:val="1"/>
            <w:tcBorders>
              <w:top w:val="single" w:color="D0D5DD" w:sz="4"/>
              <w:left w:val="single" w:color="D0D5DD" w:sz="4"/>
              <w:bottom w:val="single" w:color="D0D5DD" w:sz="4"/>
              <w:right w:val="single" w:color="D0D5DD" w:sz="4"/>
            </w:tcBorders>
            <w:shd w:fill="F2F4F7"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High-stakes compensation decisions</w:t>
            </w:r>
          </w:p>
        </w:tc>
      </w:tr>
      <w:tr>
        <w:trPr>
          <w:tblHeader w:val="false"/>
        </w:trPr>
        <w:tc>
          <w:tcPr>
            <w:tcW w:type="dxa" w:w="3800"/>
            <w:gridSpan w:val="1"/>
            <w:tcBorders>
              <w:top w:val="single" w:color="D0D5DD" w:sz="4"/>
              <w:left w:val="single" w:color="D0D5DD" w:sz="4"/>
              <w:bottom w:val="single" w:color="D0D5DD" w:sz="4"/>
              <w:right w:val="single" w:color="D0D5DD" w:sz="4"/>
            </w:tcBorders>
            <w:shd w:fill="FFFFFF"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Recruiting market data</w:t>
            </w:r>
          </w:p>
        </w:tc>
        <w:tc>
          <w:tcPr>
            <w:tcW w:type="dxa" w:w="5560"/>
            <w:gridSpan w:val="1"/>
            <w:tcBorders>
              <w:top w:val="single" w:color="D0D5DD" w:sz="4"/>
              <w:left w:val="single" w:color="D0D5DD" w:sz="4"/>
              <w:bottom w:val="single" w:color="D0D5DD" w:sz="4"/>
              <w:right w:val="single" w:color="D0D5DD" w:sz="4"/>
            </w:tcBorders>
            <w:shd w:fill="FFFFFF" w:val="clear"/>
            <w:tcMar>
              <w:top w:type="dxa" w:w="100"/>
              <w:left w:type="dxa" w:w="140"/>
              <w:bottom w:type="dxa" w:w="100"/>
              <w:right w:type="dxa" w:w="140"/>
            </w:tcMar>
            <w:vAlign w:val="center"/>
          </w:tcPr>
          <w:p>
            <w:pPr>
              <w:spacing w:after="0" w:before="0"/>
              <w:jc w:val="left"/>
            </w:pPr>
            <w:r>
              <w:rPr>
                <w:rFonts w:ascii="Georgia" w:cs="Georgia" w:eastAsia="Georgia" w:hAnsi="Georgia"/>
                <w:b w:val="false"/>
                <w:bCs w:val="false"/>
                <w:i w:val="false"/>
                <w:iCs w:val="false"/>
                <w:color w:val="111111"/>
                <w:sz w:val="20"/>
                <w:szCs w:val="20"/>
              </w:rPr>
              <w:t xml:space="preserve">Retention and competitiveness context</w:t>
            </w:r>
          </w:p>
        </w:tc>
      </w:tr>
    </w:tbl>
    <w:p>
      <w:pPr>
        <w:pBdr>
          <w:bottom w:val="single" w:color="B8963E" w:sz="8" w:space="1"/>
        </w:pBdr>
        <w:spacing w:after="160" w:before="160"/>
      </w:pPr>
    </w:p>
    <w:p>
      <w:pPr>
        <w:pStyle w:val="Heading1"/>
        <w:pBdr>
          <w:bottom w:val="single" w:color="1B2B4B" w:sz="6" w:space="4"/>
        </w:pBdr>
        <w:spacing w:after="120" w:before="320"/>
      </w:pPr>
      <w:r>
        <w:rPr>
          <w:rFonts w:ascii="Arial" w:cs="Arial" w:eastAsia="Arial" w:hAnsi="Arial"/>
          <w:b/>
          <w:bCs/>
          <w:color w:val="1B2B4B"/>
          <w:sz w:val="26"/>
          <w:szCs w:val="26"/>
        </w:rPr>
        <w:t xml:space="preserve">Adoption and Signatures</w:t>
      </w:r>
    </w:p>
    <w:p>
      <w:pPr>
        <w:spacing w:after="60" w:before="200"/>
      </w:pPr>
      <w:r>
        <w:rPr>
          <w:rFonts w:ascii="Arial" w:cs="Arial" w:eastAsia="Arial" w:hAnsi="Arial"/>
          <w:b/>
          <w:bCs/>
          <w:color w:val="111111"/>
          <w:sz w:val="20"/>
          <w:szCs w:val="20"/>
        </w:rPr>
        <w:t xml:space="preserve">Board Chair: </w:t>
      </w:r>
      <w:r>
        <w:rPr>
          <w:rFonts w:ascii="Courier New" w:cs="Courier New" w:eastAsia="Courier New" w:hAnsi="Courier New"/>
          <w:color w:val="6B7280"/>
          <w:sz w:val="20"/>
          <w:szCs w:val="20"/>
        </w:rPr>
        <w:t xml:space="preserve">____________________________________________________</w:t>
      </w:r>
    </w:p>
    <w:p>
      <w:pPr>
        <w:spacing w:after="160" w:before="60"/>
      </w:pPr>
      <w:r>
        <w:rPr>
          <w:rFonts w:ascii="Arial" w:cs="Arial" w:eastAsia="Arial" w:hAnsi="Arial"/>
          <w:b/>
          <w:bCs/>
          <w:color w:val="111111"/>
          <w:sz w:val="20"/>
          <w:szCs w:val="20"/>
        </w:rPr>
        <w:t xml:space="preserve">Date: </w:t>
      </w:r>
      <w:r>
        <w:rPr>
          <w:rFonts w:ascii="Courier New" w:cs="Courier New" w:eastAsia="Courier New" w:hAnsi="Courier New"/>
          <w:color w:val="6B7280"/>
          <w:sz w:val="20"/>
          <w:szCs w:val="20"/>
        </w:rPr>
        <w:t xml:space="preserve">______________________________</w:t>
      </w:r>
    </w:p>
    <w:p>
      <w:pPr>
        <w:spacing w:after="120" w:before="60"/>
      </w:pPr>
    </w:p>
    <w:p>
      <w:pPr>
        <w:spacing w:after="60" w:before="200"/>
      </w:pPr>
      <w:r>
        <w:rPr>
          <w:rFonts w:ascii="Arial" w:cs="Arial" w:eastAsia="Arial" w:hAnsi="Arial"/>
          <w:b/>
          <w:bCs/>
          <w:color w:val="111111"/>
          <w:sz w:val="20"/>
          <w:szCs w:val="20"/>
        </w:rPr>
        <w:t xml:space="preserve">Compensation Committee Chair: </w:t>
      </w:r>
      <w:r>
        <w:rPr>
          <w:rFonts w:ascii="Courier New" w:cs="Courier New" w:eastAsia="Courier New" w:hAnsi="Courier New"/>
          <w:color w:val="6B7280"/>
          <w:sz w:val="20"/>
          <w:szCs w:val="20"/>
        </w:rPr>
        <w:t xml:space="preserve">____________________________________________________</w:t>
      </w:r>
    </w:p>
    <w:p>
      <w:pPr>
        <w:spacing w:after="160" w:before="60"/>
      </w:pPr>
      <w:r>
        <w:rPr>
          <w:rFonts w:ascii="Arial" w:cs="Arial" w:eastAsia="Arial" w:hAnsi="Arial"/>
          <w:b/>
          <w:bCs/>
          <w:color w:val="111111"/>
          <w:sz w:val="20"/>
          <w:szCs w:val="20"/>
        </w:rPr>
        <w:t xml:space="preserve">Date: </w:t>
      </w:r>
      <w:r>
        <w:rPr>
          <w:rFonts w:ascii="Courier New" w:cs="Courier New" w:eastAsia="Courier New" w:hAnsi="Courier New"/>
          <w:color w:val="6B7280"/>
          <w:sz w:val="20"/>
          <w:szCs w:val="20"/>
        </w:rPr>
        <w:t xml:space="preserve">______________________________</w:t>
      </w:r>
    </w:p>
    <w:p>
      <w:pPr>
        <w:spacing w:after="120" w:before="60"/>
      </w:pPr>
    </w:p>
    <w:p>
      <w:pPr>
        <w:spacing w:after="60" w:before="200"/>
      </w:pPr>
      <w:r>
        <w:rPr>
          <w:rFonts w:ascii="Arial" w:cs="Arial" w:eastAsia="Arial" w:hAnsi="Arial"/>
          <w:b/>
          <w:bCs/>
          <w:color w:val="111111"/>
          <w:sz w:val="20"/>
          <w:szCs w:val="20"/>
        </w:rPr>
        <w:t xml:space="preserve">Executive Director: </w:t>
      </w:r>
      <w:r>
        <w:rPr>
          <w:rFonts w:ascii="Courier New" w:cs="Courier New" w:eastAsia="Courier New" w:hAnsi="Courier New"/>
          <w:color w:val="6B7280"/>
          <w:sz w:val="20"/>
          <w:szCs w:val="20"/>
        </w:rPr>
        <w:t xml:space="preserve">____________________________________________________</w:t>
      </w:r>
    </w:p>
    <w:p>
      <w:pPr>
        <w:spacing w:after="160" w:before="60"/>
      </w:pPr>
      <w:r>
        <w:rPr>
          <w:rFonts w:ascii="Arial" w:cs="Arial" w:eastAsia="Arial" w:hAnsi="Arial"/>
          <w:b/>
          <w:bCs/>
          <w:color w:val="111111"/>
          <w:sz w:val="20"/>
          <w:szCs w:val="20"/>
        </w:rPr>
        <w:t xml:space="preserve">Date: </w:t>
      </w:r>
      <w:r>
        <w:rPr>
          <w:rFonts w:ascii="Courier New" w:cs="Courier New" w:eastAsia="Courier New" w:hAnsi="Courier New"/>
          <w:color w:val="6B7280"/>
          <w:sz w:val="20"/>
          <w:szCs w:val="20"/>
        </w:rPr>
        <w:t xml:space="preserve">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5DD" w:sz="4" w:space="4"/>
      </w:pBdr>
      <w:tabs>
        <w:tab w:val="center" w:pos="4680"/>
        <w:tab w:val="right" w:pos="9360"/>
      </w:tabs>
      <w:spacing w:after="0" w:before="80"/>
    </w:pPr>
    <w:r>
      <w:rPr>
        <w:rFonts w:ascii="Arial" w:cs="Arial" w:eastAsia="Arial" w:hAnsi="Arial"/>
        <w:color w:val="6B7280"/>
        <w:sz w:val="16"/>
        <w:szCs w:val="16"/>
      </w:rPr>
      <w:t xml:space="preserve">© 2026 CivicOS Institute  ·  Confidential</w:t>
    </w:r>
    <w:r>
      <w:t xml:space="preserve">	</w:t>
    </w:r>
    <w:r>
      <w:rPr>
        <w:rFonts w:ascii="Arial" w:cs="Arial" w:eastAsia="Arial" w:hAnsi="Arial"/>
        <w:color w:val="6B7280"/>
        <w:sz w:val="16"/>
        <w:szCs w:val="16"/>
      </w:rPr>
      <w:t xml:space="preserve">Doc 09 v1.0</w:t>
    </w:r>
    <w:r>
      <w:t xml:space="preserve">	</w:t>
    </w:r>
    <w:r>
      <w:rPr>
        <w:rFonts w:ascii="Arial" w:cs="Arial" w:eastAsia="Arial" w:hAnsi="Arial"/>
        <w:color w:val="6B7280"/>
        <w:sz w:val="16"/>
        <w:szCs w:val="16"/>
      </w:rPr>
      <w:t xml:space="preserve">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2B4B" w:sz="6" w:space="4"/>
      </w:pBdr>
      <w:tabs>
        <w:tab w:val="right" w:pos="9360"/>
      </w:tabs>
      <w:spacing w:after="80" w:before="0"/>
    </w:pPr>
    <w:r>
      <w:rPr>
        <w:rFonts w:ascii="Arial" w:cs="Arial" w:eastAsia="Arial" w:hAnsi="Arial"/>
        <w:b/>
        <w:bCs/>
        <w:color w:val="1B2B4B"/>
        <w:sz w:val="18"/>
        <w:szCs w:val="18"/>
      </w:rPr>
      <w:t xml:space="preserve">CivicOS Institute</w:t>
    </w:r>
    <w:r>
      <w:t xml:space="preserve">	</w:t>
    </w:r>
    <w:r>
      <w:rPr>
        <w:rFonts w:ascii="Arial" w:cs="Arial" w:eastAsia="Arial" w:hAnsi="Arial"/>
        <w:i/>
        <w:iCs/>
        <w:color w:val="6B7280"/>
        <w:sz w:val="18"/>
        <w:szCs w:val="18"/>
      </w:rPr>
      <w:t xml:space="preserve">Compensation Review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2026-02-28T21:27:36.490Z</dcterms:created>
  <dcterms:modified xsi:type="dcterms:W3CDTF">2026-02-28T21:27:36.490Z</dcterms:modified>
</cp:coreProperties>
</file>

<file path=docProps/custom.xml><?xml version="1.0" encoding="utf-8"?>
<Properties xmlns="http://schemas.openxmlformats.org/officeDocument/2006/custom-properties" xmlns:vt="http://schemas.openxmlformats.org/officeDocument/2006/docPropsVTypes"/>
</file>